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7D695" w14:textId="77777777" w:rsidR="00221BD9" w:rsidRDefault="00221BD9" w:rsidP="00221BD9">
      <w:pPr>
        <w:spacing w:line="240" w:lineRule="auto"/>
        <w:rPr>
          <w:color w:val="010000"/>
          <w:sz w:val="2"/>
        </w:rPr>
        <w:sectPr w:rsidR="00221BD9" w:rsidSect="00055BFC">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200" w:bottom="1728" w:left="1200" w:header="432" w:footer="504" w:gutter="0"/>
          <w:pgNumType w:start="1"/>
          <w:cols w:space="720"/>
          <w:titlePg/>
          <w:docGrid w:linePitch="360"/>
        </w:sectPr>
      </w:pPr>
      <w:commentRangeStart w:id="0"/>
      <w:commentRangeEnd w:id="0"/>
      <w:r>
        <w:rPr>
          <w:rStyle w:val="CommentReference"/>
          <w:szCs w:val="20"/>
        </w:rPr>
        <w:commentReference w:id="0"/>
      </w:r>
    </w:p>
    <w:p w14:paraId="23BE8CCA" w14:textId="77777777" w:rsidR="00055BFC" w:rsidRPr="00A27814" w:rsidRDefault="00055BFC" w:rsidP="009244E2">
      <w:pPr>
        <w:pStyle w:val="Session"/>
        <w:rPr>
          <w:rFonts w:eastAsia="Times New Roman"/>
          <w:szCs w:val="20"/>
          <w:lang w:val="cs-CZ"/>
        </w:rPr>
      </w:pPr>
      <w:r>
        <w:t>Ежегодная сессия 2025 года</w:t>
      </w:r>
    </w:p>
    <w:p w14:paraId="602BF17B" w14:textId="77777777" w:rsidR="00055BFC" w:rsidRPr="00F7401C" w:rsidRDefault="00055BFC" w:rsidP="00055BFC">
      <w:pPr>
        <w:spacing w:line="240" w:lineRule="auto"/>
        <w:rPr>
          <w:rFonts w:eastAsia="Times New Roman"/>
          <w:szCs w:val="20"/>
        </w:rPr>
      </w:pPr>
      <w:r>
        <w:t>2–5 июня 2025 года Нью-Йорк</w:t>
      </w:r>
    </w:p>
    <w:p w14:paraId="10DBDC32" w14:textId="77777777" w:rsidR="00055BFC" w:rsidRPr="00FE22B0" w:rsidRDefault="00055BFC" w:rsidP="009244E2">
      <w:pPr>
        <w:pStyle w:val="AgendaItemNormal"/>
        <w:rPr>
          <w:rFonts w:eastAsia="Times New Roman"/>
          <w:szCs w:val="20"/>
          <w:lang w:val="ru-RU"/>
        </w:rPr>
      </w:pPr>
      <w:r w:rsidRPr="00FE22B0">
        <w:rPr>
          <w:lang w:val="ru-RU"/>
        </w:rPr>
        <w:t>Пункт 3 предварительной повестки дня</w:t>
      </w:r>
    </w:p>
    <w:p w14:paraId="5D9B1BD7" w14:textId="77777777" w:rsidR="00055BFC" w:rsidRPr="00FE22B0" w:rsidRDefault="00055BFC" w:rsidP="009244E2">
      <w:pPr>
        <w:pStyle w:val="AgendaTitleH2"/>
      </w:pPr>
      <w:r>
        <w:t>ЮНФПА — Управление аудита и расследований</w:t>
      </w:r>
    </w:p>
    <w:p w14:paraId="0F491606" w14:textId="77777777" w:rsidR="009244E2" w:rsidRPr="00FE22B0" w:rsidRDefault="009244E2" w:rsidP="009244E2"/>
    <w:p w14:paraId="2287F15B" w14:textId="77777777" w:rsidR="00055BFC" w:rsidRPr="00F7401C" w:rsidRDefault="00055BFC" w:rsidP="00055BFC">
      <w:pPr>
        <w:spacing w:after="240" w:line="360" w:lineRule="auto"/>
        <w:jc w:val="center"/>
        <w:rPr>
          <w:rFonts w:eastAsia="Times New Roman"/>
          <w:sz w:val="28"/>
          <w:szCs w:val="28"/>
        </w:rPr>
      </w:pPr>
      <w:r>
        <w:rPr>
          <w:b/>
          <w:sz w:val="28"/>
        </w:rPr>
        <w:t>Фонд Организации Объединенных Наций в области народонаселения (ЮНФПА)</w:t>
      </w:r>
    </w:p>
    <w:p w14:paraId="5442F943" w14:textId="77777777" w:rsidR="00055BFC" w:rsidRPr="00F7401C" w:rsidRDefault="00055BFC" w:rsidP="00055BFC">
      <w:pPr>
        <w:spacing w:before="120" w:after="480" w:line="240" w:lineRule="auto"/>
        <w:ind w:left="1260" w:right="540"/>
        <w:jc w:val="center"/>
        <w:rPr>
          <w:rFonts w:eastAsia="Times New Roman"/>
          <w:sz w:val="24"/>
          <w:szCs w:val="24"/>
        </w:rPr>
      </w:pPr>
      <w:r>
        <w:rPr>
          <w:b/>
          <w:sz w:val="24"/>
        </w:rPr>
        <w:t>Доклад Управления аудита и расследований о деятельности ЮНФПА в области внутреннего аудита и расследований в 2024 году</w:t>
      </w:r>
    </w:p>
    <w:tbl>
      <w:tblPr>
        <w:tblW w:w="9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8"/>
      </w:tblGrid>
      <w:tr w:rsidR="00055BFC" w:rsidRPr="00F7401C" w14:paraId="3BD6E9CD" w14:textId="77777777" w:rsidTr="00B92127">
        <w:tc>
          <w:tcPr>
            <w:tcW w:w="9858" w:type="dxa"/>
            <w:tcBorders>
              <w:top w:val="single" w:sz="4" w:space="0" w:color="000000"/>
              <w:bottom w:val="single" w:sz="4" w:space="0" w:color="000000"/>
            </w:tcBorders>
            <w:shd w:val="clear" w:color="auto" w:fill="auto"/>
          </w:tcPr>
          <w:p w14:paraId="28616AF0" w14:textId="77777777" w:rsidR="00055BFC" w:rsidRPr="00F7401C" w:rsidRDefault="00055BFC" w:rsidP="00B92127">
            <w:pPr>
              <w:spacing w:before="120" w:after="80"/>
              <w:ind w:left="360" w:right="1264"/>
              <w:rPr>
                <w:i/>
                <w:iCs/>
              </w:rPr>
            </w:pPr>
            <w:r>
              <w:rPr>
                <w:i/>
              </w:rPr>
              <w:t>Аннотации</w:t>
            </w:r>
          </w:p>
          <w:p w14:paraId="3C504CBC" w14:textId="44286090" w:rsidR="00055BFC" w:rsidRDefault="00055BFC" w:rsidP="00B92127">
            <w:pPr>
              <w:spacing w:after="80"/>
              <w:ind w:left="346" w:right="317" w:firstLine="367"/>
            </w:pPr>
            <w:r>
              <w:t xml:space="preserve">В соответствии с решениями Исполнительного совета </w:t>
            </w:r>
            <w:r w:rsidRPr="00636DF9">
              <w:t>2015/2</w:t>
            </w:r>
            <w:r>
              <w:t xml:space="preserve">, </w:t>
            </w:r>
            <w:r w:rsidRPr="00636DF9">
              <w:t>2015/13</w:t>
            </w:r>
            <w:r>
              <w:t xml:space="preserve">, </w:t>
            </w:r>
            <w:r w:rsidRPr="00636DF9">
              <w:t>2022/15</w:t>
            </w:r>
            <w:r>
              <w:t xml:space="preserve">, </w:t>
            </w:r>
            <w:r w:rsidRPr="00636DF9">
              <w:t>2022/22</w:t>
            </w:r>
            <w:r>
              <w:t xml:space="preserve"> и предыдущими соответствующими решениями Совета, директор Управления аудита и расследований (УАР) ЮНФПА представляет настоящий доклад о внутреннем аудите, расследованиях и консультационных услугах за год, заканчивающийся 31 декабря 2024 года.</w:t>
            </w:r>
          </w:p>
          <w:p w14:paraId="6F9C9013" w14:textId="77777777" w:rsidR="00055BFC" w:rsidRDefault="00055BFC" w:rsidP="00B92127">
            <w:pPr>
              <w:spacing w:after="80"/>
              <w:ind w:left="346" w:right="317" w:firstLine="367"/>
            </w:pPr>
            <w:r>
              <w:t>Доклад раскрывает: (</w:t>
            </w:r>
            <w:r>
              <w:rPr>
                <w:lang w:val="en-US"/>
              </w:rPr>
              <w:t>a</w:t>
            </w:r>
            <w:r>
              <w:t>) задачи УАР; (</w:t>
            </w:r>
            <w:r>
              <w:rPr>
                <w:lang w:val="en-US"/>
              </w:rPr>
              <w:t>b</w:t>
            </w:r>
            <w:r>
              <w:t>) заключение внутреннего аудита о действующем в организации руководстве, управлении рисками и нормативно-правовом соответствии ЮНФПА; (</w:t>
            </w:r>
            <w:r>
              <w:rPr>
                <w:lang w:val="en-US"/>
              </w:rPr>
              <w:t>c</w:t>
            </w:r>
            <w:r>
              <w:t>) заявление о независимости УАР и соответствии профессиональным стандартам; (</w:t>
            </w:r>
            <w:r>
              <w:rPr>
                <w:lang w:val="en-US"/>
              </w:rPr>
              <w:t>d</w:t>
            </w:r>
            <w:r>
              <w:t>) ресурсы УАР на 2024 год; (</w:t>
            </w:r>
            <w:r>
              <w:rPr>
                <w:lang w:val="en-US"/>
              </w:rPr>
              <w:t>e</w:t>
            </w:r>
            <w:r>
              <w:t>) результаты выполнения плана аудита на основе оценки рисков на 2024 год; (</w:t>
            </w:r>
            <w:r>
              <w:rPr>
                <w:lang w:val="en-US"/>
              </w:rPr>
              <w:t>f</w:t>
            </w:r>
            <w:r>
              <w:t>) рейтинги по отчетам, существенные вопросы и рекомендации, вытекающие из аудита; (</w:t>
            </w:r>
            <w:r>
              <w:rPr>
                <w:lang w:val="en-US"/>
              </w:rPr>
              <w:t>g</w:t>
            </w:r>
            <w:r>
              <w:t>) деятельность и результаты внутреннего аудита; (</w:t>
            </w:r>
            <w:r>
              <w:rPr>
                <w:lang w:val="en-US"/>
              </w:rPr>
              <w:t>h</w:t>
            </w:r>
            <w:r>
              <w:t>) расследования, включая информацию о характере полученных дел, проведенных расследованиях и принятых мерах; (</w:t>
            </w:r>
            <w:proofErr w:type="spellStart"/>
            <w:r>
              <w:rPr>
                <w:lang w:val="en-US"/>
              </w:rPr>
              <w:t>i</w:t>
            </w:r>
            <w:proofErr w:type="spellEnd"/>
            <w:r>
              <w:t>) консультационные услуги, оказанные в 2024 году; (</w:t>
            </w:r>
            <w:r>
              <w:rPr>
                <w:lang w:val="en-US"/>
              </w:rPr>
              <w:t>j</w:t>
            </w:r>
            <w:r>
              <w:t>) другие мероприятия, проведенные в 2024 году; (</w:t>
            </w:r>
            <w:r>
              <w:rPr>
                <w:lang w:val="en-US"/>
              </w:rPr>
              <w:t>k</w:t>
            </w:r>
            <w:r>
              <w:t>) предлагаемый план действий на следующий год и последующие годы.</w:t>
            </w:r>
          </w:p>
          <w:p w14:paraId="6450298D" w14:textId="77777777" w:rsidR="00055BFC" w:rsidRPr="00C56824" w:rsidRDefault="00055BFC" w:rsidP="00B92127">
            <w:pPr>
              <w:spacing w:after="80"/>
              <w:ind w:left="346" w:right="317" w:firstLine="367"/>
            </w:pPr>
            <w:r>
              <w:t>Приложения к этому докладу доступны отдельно на веб-сайте ЮНФПА.</w:t>
            </w:r>
          </w:p>
          <w:p w14:paraId="543BD064" w14:textId="635E8D71" w:rsidR="009244E2" w:rsidRPr="00FE22B0" w:rsidRDefault="00055BFC" w:rsidP="00F800B6">
            <w:pPr>
              <w:spacing w:after="80"/>
              <w:ind w:left="346" w:right="317" w:firstLine="367"/>
            </w:pPr>
            <w:r>
              <w:t>В соответствии с требованиями Исполнительного совета в Решении </w:t>
            </w:r>
            <w:r w:rsidRPr="00636DF9">
              <w:t>2022/22</w:t>
            </w:r>
            <w:r>
              <w:t xml:space="preserve"> </w:t>
            </w:r>
            <w:proofErr w:type="gramStart"/>
            <w:r>
              <w:t>и согласно установленному порядку</w:t>
            </w:r>
            <w:proofErr w:type="gramEnd"/>
            <w:r>
              <w:t xml:space="preserve"> ниже приводятся потенциальные тревожные сигналы, возникающие риски, вопросы внутреннего контроля, результаты аудита и статус расследований, которые были выявлены УАР в ходе работы в 2024 году и требуют особого внимания со стороны Исполнительного совета.</w:t>
            </w:r>
          </w:p>
          <w:p w14:paraId="0EEC1D4B" w14:textId="77777777" w:rsidR="00055BFC" w:rsidRDefault="00055BFC" w:rsidP="00B92127">
            <w:pPr>
              <w:spacing w:after="80"/>
              <w:ind w:left="346" w:right="317" w:firstLine="367"/>
            </w:pPr>
            <w:r>
              <w:t xml:space="preserve">В 2024 году УАР опубликовало 28 аудиторских отчетов, пять из которых получили оценку «удовлетворительно», 15 — «частично удовлетворительно и требует некоторых улучшений», пять — «частично удовлетворительно и требует значительных улучшений» и три — «неудовлетворительно». </w:t>
            </w:r>
          </w:p>
          <w:p w14:paraId="132C6C3D" w14:textId="77777777" w:rsidR="00055BFC" w:rsidRDefault="00055BFC" w:rsidP="00B92127">
            <w:pPr>
              <w:spacing w:after="80"/>
              <w:ind w:left="346" w:right="317" w:firstLine="367"/>
            </w:pPr>
            <w:r>
              <w:lastRenderedPageBreak/>
              <w:t xml:space="preserve">Наиболее часто встречающиеся проблемы, выявленные в аудиторских отчетах за 2024 год, в основном связаны с руководством, управлением программами и оперативным управлением. Проблемы в области управления включают несогласованность организационных структур и штатного расписания, ненадлежащее планирование результатов и отчетность, недостаточные процессы управления рисками и отсутствие надлежащей подготовки персонала отделений. Эти проблемы во многом обусловлены ненадлежащим надзором на различных уровнях, включая штаб-квартиру, региональные и страновые отделения. </w:t>
            </w:r>
          </w:p>
          <w:p w14:paraId="2A411729" w14:textId="77777777" w:rsidR="00055BFC" w:rsidRDefault="00055BFC" w:rsidP="00B92127">
            <w:pPr>
              <w:spacing w:after="80"/>
              <w:ind w:left="346" w:right="317" w:firstLine="367"/>
            </w:pPr>
            <w:r>
              <w:t xml:space="preserve">Еще одной серьезной проблемой в сфере руководства является недостаточная организация процессов управления рисками во многих страновых отделениях, что приводит к ненадлежащему выявлению, отслеживанию и снижению потенциальных рисков. Ситуацию усугубляют слабый надзор и отсутствие структурированных рамок управления рисками. </w:t>
            </w:r>
          </w:p>
          <w:p w14:paraId="1E223FD0" w14:textId="77777777" w:rsidR="00055BFC" w:rsidRPr="00487076" w:rsidRDefault="00055BFC" w:rsidP="00B92127">
            <w:pPr>
              <w:spacing w:after="80"/>
              <w:ind w:left="346" w:right="317" w:firstLine="367"/>
            </w:pPr>
            <w:r>
              <w:t>Неэффективное управление и надзор за партнерами-исполнителями — одна из основных проблем, выявленных в аудиторских отчетах за 2024 год, которая затрагивает деятельность в 19 страновых отделениях. Основные проблемы включают в себя недостаточный надзор, ненадлежащее соблюдение корпоративной политики и слабый финансовый и программный мониторинг. Серьезное беспокойство вызывает неконкурентный выбор партнеров из числа НПО, что повышает риски, связанные с подотчетностью и эффективностью. Кроме того, во многих офисах не были своевременно проведены мероприятия по обеспечению качества в рамках согласованного подхода к переводу денежных средств (HACT), что привело к финансовым нарушениям и неэффективности при реализации рабочих планов. Слабый контроль над денежными переводами также увеличивает финансовые риски. Для решения этих проблем УАР рекомендует укрепить процессы управления партнерами-исполнителями путем улучшения надзора, оценки рисков и соблюдения политик.</w:t>
            </w:r>
          </w:p>
          <w:p w14:paraId="22F6BFB8" w14:textId="77777777" w:rsidR="00055BFC" w:rsidRPr="00487076" w:rsidRDefault="00055BFC" w:rsidP="00B92127">
            <w:pPr>
              <w:spacing w:after="80"/>
              <w:ind w:left="346" w:right="317" w:firstLine="367"/>
            </w:pPr>
            <w:r>
              <w:t xml:space="preserve">Другой важнейшей проблемой является непоследовательное осуществление мер по защите от сексуальной эксплуатации и сексуальных надругательств (PSEA). Соблюдение этих мер имеет решающее значение для защиты бенефициаров и поддержания этических стандартов в партнерстве. Однако некоторые отделения не в полной мере обеспечивают соблюдение политики в области защиты от сексуальной эксплуатации и сексуальных надругательств и не проводят надлежащего обучения партнеров-исполнителей по вопросам соблюдения требований. Кроме того, отсутствие надлежащей регистрации партнеров на Портале партнеров Организации Объединенных Наций затрудняет отслеживание и мониторинг партнерских отношений, снижая общую эффективность работы. </w:t>
            </w:r>
          </w:p>
          <w:p w14:paraId="6F25AF50" w14:textId="77777777" w:rsidR="00055BFC" w:rsidRPr="00487076" w:rsidRDefault="00055BFC" w:rsidP="00B92127">
            <w:pPr>
              <w:spacing w:after="80"/>
              <w:ind w:left="346" w:right="317" w:firstLine="367"/>
            </w:pPr>
            <w:r>
              <w:t xml:space="preserve">В аудиторских отчетах за 2024 год выявлен ряд ключевых проблем в области оперативного управления, затрагивающих множество страновых отделений и подразделений. Одной из основных проблем является несоблюдение процедур закупок, которое было отмечено в 15 странах. Отделения часто не разрабатывают комплексные планы закупок, не оформляют надлежащим образом документы о получении и проверке товаров и не заключают долгосрочных соглашений по часто закупаемым товарам. Эта проблема в первую очередь связана с ненадлежащим надзором и недостаточной подготовкой персонала, что приводит к неэффективности и финансовым рискам. Еще одной серьезной проблемой является ненадлежащий финансовый контроль, включая чрезмерное использование наличных платежей и недостаточное управление рисками при проведении финансовых операций — такие случаи отмечены в 8 страновых отделениях. </w:t>
            </w:r>
          </w:p>
          <w:p w14:paraId="13C3761E" w14:textId="77777777" w:rsidR="00055BFC" w:rsidRDefault="00055BFC" w:rsidP="00B92127">
            <w:pPr>
              <w:spacing w:after="80"/>
              <w:ind w:left="346" w:right="317" w:firstLine="367"/>
            </w:pPr>
            <w:r>
              <w:t xml:space="preserve">Также отмечено недостаточное управление финансовыми ресурсами. Например, в одном из страновых отделений, в которых проводился аудит, не функционировала эффективная система управления ресурсами. Помимо финансового дефицита в размере 4,0 млн долл. США по расходам на таможенную очистку и регулирование функционирования цепи снабжения в 2024 году, который, по прогнозам, увеличится до 7,9 млн долл. в 2025 году, и перерасхода средств по проектам в совокупности на сумму 1,1 млн долл. США по состоянию на ноябрь 2024 года, это отделение столкнулось с нехваткой 0,5 млн долл. США по регулярным ресурсам по состоянию на 30 ноября 2024 года. Финансовые последствия ретроактивных действий оцениваются в 3,3 млн долл. США. В другом случае, касающемся Йемена, Центральный банк Йемена (Аден) отозвал лицензии у шести коммерческих банков, работающих в стране, включая банк, в котором хранились наличные средства ЮНФПА и других учреждений Организации Объединенных Наций. Неожиданное закрытие банков привело к нехватке ликвидных средств, что негативно сказалось на деятельности ЮНФПА в стране. </w:t>
            </w:r>
          </w:p>
          <w:p w14:paraId="4C971FA9" w14:textId="77777777" w:rsidR="00055BFC" w:rsidRDefault="00055BFC" w:rsidP="00B92127">
            <w:pPr>
              <w:spacing w:after="80"/>
              <w:ind w:left="346" w:right="317" w:firstLine="367"/>
            </w:pPr>
            <w:r>
              <w:t>В ответ на результаты аудита руководство ЮНФПА приняло ряд мер по исправлению ситуации, включая укрепление системы руководства, управления рисками и повышение операционной эффективности. Благодаря новой политике было усовершенствовано общеорганизационное управление рисками (ОУР) — более 80 процентов страновых отделений и все подразделения штаб-квартиры провели оценку рисков. Комитет по рискам штаб-квартиры (HRC) начал работу, а ОУР было интегрировано с инициативами по управлению репутационными рисками. В страновых отделениях, получивших «неудовлетворительную» оценку по итогам аудита, разработанные планы действий позволили решить ключевые проблемы: одно отделение выполнило 9 из 14 рекомендаций, а другое устранило большинство проблем, за исключением постоянного контроля над управлением денежными средствами партнеров-исполнителей.</w:t>
            </w:r>
          </w:p>
          <w:p w14:paraId="5CA66A2A" w14:textId="77777777" w:rsidR="00055BFC" w:rsidRDefault="00055BFC" w:rsidP="00B92127">
            <w:pPr>
              <w:spacing w:after="80"/>
              <w:ind w:left="346" w:right="317" w:firstLine="367"/>
            </w:pPr>
            <w:r>
              <w:t xml:space="preserve">Что касается расследований, в УАР сохранилось 314 дел, открытых в предыдущие годы, большинство из которых касались мошенничества, сексуальных преследований и запрещенных действий. Кроме того, было зарегистрировано 366 новых дел, из которых 134 были открыты как новые. Новые дела касались в основном внутренних субъектов, таких как сотрудники ЮНФПА и подрядчики, а также внешних субъектов, таких как партнеры-исполнители и поставщики. Географические регионы, из которых поступали новые дела, включали штаб-квартиру (15 дел, 11 процентов), арабские государства (20 дел, 15 процентов), Азиатско-Тихоокеанский регион (23 дела, 17 процентов), Восточную и Южную Африку (29 дел, 22 процента), Восточную Европу и Центральную Азию (7 дел, 5 процентов), страны Латинской Америки и Карибского бассейна (9 дел, 7 процентов), а также Западную и Центральную Африку (31 дело, 23 процента). </w:t>
            </w:r>
          </w:p>
          <w:p w14:paraId="7743A9F1" w14:textId="77777777" w:rsidR="00055BFC" w:rsidRDefault="00055BFC" w:rsidP="00B92127">
            <w:pPr>
              <w:spacing w:after="80"/>
              <w:ind w:left="346" w:right="317" w:firstLine="367"/>
            </w:pPr>
            <w:r>
              <w:t>По состоянию на 31 декабря 2024 года УАР закрыло 165 дел. Из них 78 процентов были закрыты на основании служебной записки, а 22 процента — на основании отчетов о расследовании. Основными обвинениями в делах с подтвержденными данными были мошенничество и финансовые нарушения (15 дел, 62 процента), сексуальные преследования (3 дела, 13 процентов), запрещенные действия (3 дела, 13 процентов), другие неправомерные действия (2 дела, 8 процентов) и преследования (1 дело, 4 процента). Финансовые последствия подтвержденных случаев мошенничества составили 2 613 691 долл. США.</w:t>
            </w:r>
          </w:p>
          <w:p w14:paraId="79DB76D6" w14:textId="77777777" w:rsidR="00055BFC" w:rsidRDefault="00055BFC" w:rsidP="00B92127">
            <w:pPr>
              <w:spacing w:after="80"/>
              <w:ind w:left="346" w:right="317" w:firstLine="367"/>
            </w:pPr>
            <w:r>
              <w:t>УАР усовершенствовало процесс приема жалоб для управления увеличившимся числом сообщений о нарушениях и расширило штат сотрудников в целях проведения более строгого отбора дел в рамках мандата до их открытия. Кроме того, УАР сосредоточилось на группировке схожих по характеру непрофильных дел для упрощения процесса приема. Благодаря этим усилиям количество непрофильных дел сократилось на 3 процента по сравнению с 2023 годом. Кроме того, УАР определило приоритетность первоочередных дел для предотвращения их затягивания в будущем, что позволило повысить эффективность рассмотрения дел.</w:t>
            </w:r>
          </w:p>
          <w:p w14:paraId="736AEC58" w14:textId="77777777" w:rsidR="00055BFC" w:rsidRPr="00F7401C" w:rsidRDefault="00055BFC" w:rsidP="00B92127">
            <w:pPr>
              <w:pBdr>
                <w:top w:val="nil"/>
                <w:left w:val="nil"/>
                <w:bottom w:val="nil"/>
                <w:right w:val="nil"/>
                <w:between w:val="nil"/>
              </w:pBdr>
              <w:tabs>
                <w:tab w:val="left" w:pos="803"/>
              </w:tabs>
              <w:spacing w:after="80"/>
              <w:ind w:left="353" w:right="317" w:firstLine="360"/>
              <w:jc w:val="both"/>
              <w:rPr>
                <w:i/>
                <w:iCs/>
                <w:color w:val="000000"/>
              </w:rPr>
            </w:pPr>
            <w:r>
              <w:rPr>
                <w:i/>
                <w:color w:val="000000"/>
              </w:rPr>
              <w:t>Элементы решения</w:t>
            </w:r>
          </w:p>
          <w:p w14:paraId="67F9EEDE" w14:textId="77777777" w:rsidR="00055BFC" w:rsidRPr="00F7401C" w:rsidRDefault="00055BFC" w:rsidP="00B92127">
            <w:pPr>
              <w:pBdr>
                <w:top w:val="nil"/>
                <w:left w:val="nil"/>
                <w:bottom w:val="nil"/>
                <w:right w:val="nil"/>
                <w:between w:val="nil"/>
              </w:pBdr>
              <w:tabs>
                <w:tab w:val="left" w:pos="803"/>
              </w:tabs>
              <w:spacing w:after="80"/>
              <w:ind w:left="353" w:right="317" w:firstLine="360"/>
              <w:jc w:val="both"/>
              <w:rPr>
                <w:iCs/>
                <w:color w:val="000000"/>
              </w:rPr>
            </w:pPr>
            <w:r>
              <w:rPr>
                <w:color w:val="000000"/>
              </w:rPr>
              <w:t xml:space="preserve">Исполнительный совет может: </w:t>
            </w:r>
            <w:bookmarkStart w:id="1" w:name="_heading=h.2s8eyo1"/>
            <w:bookmarkEnd w:id="1"/>
          </w:p>
          <w:p w14:paraId="7A4DA112" w14:textId="556A16A3" w:rsidR="00055BFC" w:rsidRPr="00F7401C" w:rsidRDefault="00055BFC" w:rsidP="00B92127">
            <w:pPr>
              <w:pBdr>
                <w:top w:val="nil"/>
                <w:left w:val="nil"/>
                <w:bottom w:val="nil"/>
                <w:right w:val="nil"/>
                <w:between w:val="nil"/>
              </w:pBdr>
              <w:tabs>
                <w:tab w:val="left" w:pos="803"/>
              </w:tabs>
              <w:spacing w:after="80"/>
              <w:ind w:left="353" w:right="317" w:firstLine="360"/>
              <w:jc w:val="both"/>
              <w:rPr>
                <w:color w:val="000000"/>
              </w:rPr>
            </w:pPr>
            <w:r>
              <w:rPr>
                <w:color w:val="000000"/>
              </w:rPr>
              <w:t xml:space="preserve">Принять </w:t>
            </w:r>
            <w:r>
              <w:rPr>
                <w:i/>
                <w:color w:val="000000"/>
              </w:rPr>
              <w:t>во внимание</w:t>
            </w:r>
            <w:r>
              <w:rPr>
                <w:color w:val="000000"/>
              </w:rPr>
              <w:t>: (</w:t>
            </w:r>
            <w:r>
              <w:rPr>
                <w:color w:val="000000"/>
                <w:lang w:val="en-US"/>
              </w:rPr>
              <w:t>a</w:t>
            </w:r>
            <w:r>
              <w:rPr>
                <w:color w:val="000000"/>
              </w:rPr>
              <w:t>) настоящий доклад (</w:t>
            </w:r>
            <w:r w:rsidRPr="00636DF9">
              <w:t>DP/FPA/2024/6</w:t>
            </w:r>
            <w:r>
              <w:rPr>
                <w:color w:val="000000"/>
              </w:rPr>
              <w:t xml:space="preserve">), который согласован с докладами других фондов и программ в соответствии с решением </w:t>
            </w:r>
            <w:r w:rsidRPr="00636DF9">
              <w:t>2020/10</w:t>
            </w:r>
            <w:r>
              <w:rPr>
                <w:color w:val="000000"/>
              </w:rPr>
              <w:t xml:space="preserve"> Исполнительного совета; (b)</w:t>
            </w:r>
            <w:r>
              <w:rPr>
                <w:color w:val="000000"/>
                <w:lang w:val="en-US"/>
              </w:rPr>
              <w:t> </w:t>
            </w:r>
            <w:r>
              <w:rPr>
                <w:color w:val="000000"/>
              </w:rPr>
              <w:t>заключение УАР об адекватности и эффективности процессов руководства, управления рисками и контроля ЮНФПА, изложенное в настоящем докладе; (c) ежегодный доклад Консультативного комитета по надзору (</w:t>
            </w:r>
            <w:r w:rsidRPr="00636DF9">
              <w:t>DP/FPA/2024/6/Add.1</w:t>
            </w:r>
            <w:r>
              <w:rPr>
                <w:color w:val="000000"/>
              </w:rPr>
              <w:t>) и (d) ответ руководства на него и на настоящий доклад (</w:t>
            </w:r>
            <w:bookmarkStart w:id="2" w:name="bmv8"/>
            <w:r w:rsidRPr="00055BFC">
              <w:rPr>
                <w:color w:val="000000"/>
              </w:rPr>
              <w:t>DP/FPA/2024/CRP.2</w:t>
            </w:r>
            <w:bookmarkEnd w:id="2"/>
            <w:r>
              <w:rPr>
                <w:color w:val="000000"/>
              </w:rPr>
              <w:t>) и</w:t>
            </w:r>
          </w:p>
          <w:p w14:paraId="0F293B5C" w14:textId="77777777" w:rsidR="00055BFC" w:rsidRPr="00F7401C" w:rsidRDefault="00055BFC" w:rsidP="00B92127">
            <w:pPr>
              <w:pBdr>
                <w:top w:val="nil"/>
                <w:left w:val="nil"/>
                <w:bottom w:val="nil"/>
                <w:right w:val="nil"/>
                <w:between w:val="nil"/>
              </w:pBdr>
              <w:tabs>
                <w:tab w:val="left" w:pos="803"/>
              </w:tabs>
              <w:spacing w:after="240"/>
              <w:ind w:left="360" w:right="317" w:firstLine="360"/>
              <w:jc w:val="both"/>
              <w:rPr>
                <w:color w:val="000000"/>
              </w:rPr>
            </w:pPr>
            <w:r>
              <w:rPr>
                <w:i/>
                <w:iCs/>
                <w:color w:val="000000"/>
              </w:rPr>
              <w:t>выразить</w:t>
            </w:r>
            <w:r>
              <w:rPr>
                <w:color w:val="000000"/>
              </w:rPr>
              <w:t xml:space="preserve"> свою неизменную поддержку укреплению функций УАР при выполнении им своих задач и планов, представленных в настоящем докладе и призванных повысить эффективность УАР и обеспечить соответствие его деятельности поставленной цели.</w:t>
            </w:r>
            <w:r>
              <w:t xml:space="preserve"> </w:t>
            </w:r>
          </w:p>
        </w:tc>
      </w:tr>
    </w:tbl>
    <w:p w14:paraId="3ED42BD9" w14:textId="77777777" w:rsidR="00055BFC" w:rsidRPr="00F7401C" w:rsidRDefault="00055BFC" w:rsidP="00055BFC">
      <w:pPr>
        <w:rPr>
          <w:rFonts w:eastAsia="Times New Roman"/>
          <w:bCs/>
          <w:sz w:val="24"/>
          <w:szCs w:val="24"/>
        </w:rPr>
      </w:pPr>
      <w:r>
        <w:lastRenderedPageBreak/>
        <w:br w:type="page"/>
      </w:r>
    </w:p>
    <w:p w14:paraId="2E5608C7" w14:textId="77777777" w:rsidR="00152846" w:rsidRPr="00152846" w:rsidRDefault="00152846" w:rsidP="00152846">
      <w:pPr>
        <w:pStyle w:val="HCh"/>
        <w:spacing w:after="120"/>
        <w:rPr>
          <w:b w:val="0"/>
          <w:lang w:val="en-US"/>
        </w:rPr>
      </w:pPr>
      <w:proofErr w:type="spellStart"/>
      <w:r>
        <w:rPr>
          <w:b w:val="0"/>
          <w:lang w:val="en-US"/>
        </w:rPr>
        <w:t>Содержание</w:t>
      </w:r>
      <w:proofErr w:type="spellEnd"/>
    </w:p>
    <w:tbl>
      <w:tblPr>
        <w:tblW w:w="9830" w:type="dxa"/>
        <w:tblLayout w:type="fixed"/>
        <w:tblCellMar>
          <w:left w:w="0" w:type="dxa"/>
          <w:right w:w="0" w:type="dxa"/>
        </w:tblCellMar>
        <w:tblLook w:val="0000" w:firstRow="0" w:lastRow="0" w:firstColumn="0" w:lastColumn="0" w:noHBand="0" w:noVBand="0"/>
      </w:tblPr>
      <w:tblGrid>
        <w:gridCol w:w="1060"/>
        <w:gridCol w:w="7056"/>
        <w:gridCol w:w="994"/>
        <w:gridCol w:w="720"/>
      </w:tblGrid>
      <w:tr w:rsidR="00152846" w:rsidRPr="00152846" w14:paraId="579745D0" w14:textId="77777777" w:rsidTr="00152846">
        <w:tc>
          <w:tcPr>
            <w:tcW w:w="1060" w:type="dxa"/>
            <w:shd w:val="clear" w:color="auto" w:fill="auto"/>
          </w:tcPr>
          <w:p w14:paraId="026A523C" w14:textId="4F6A4D64" w:rsidR="00152846" w:rsidRPr="00152846" w:rsidRDefault="00152846" w:rsidP="00152846">
            <w:pPr>
              <w:spacing w:after="120" w:line="240" w:lineRule="auto"/>
              <w:jc w:val="right"/>
              <w:rPr>
                <w:i/>
                <w:sz w:val="14"/>
                <w:lang w:val="en-US"/>
              </w:rPr>
            </w:pPr>
            <w:bookmarkStart w:id="3" w:name="_Hlk198734992"/>
          </w:p>
        </w:tc>
        <w:tc>
          <w:tcPr>
            <w:tcW w:w="7056" w:type="dxa"/>
            <w:shd w:val="clear" w:color="auto" w:fill="auto"/>
          </w:tcPr>
          <w:p w14:paraId="43E184B7" w14:textId="77777777" w:rsidR="00152846" w:rsidRPr="00152846" w:rsidRDefault="00152846" w:rsidP="00152846">
            <w:pPr>
              <w:spacing w:after="120" w:line="240" w:lineRule="auto"/>
              <w:rPr>
                <w:i/>
                <w:sz w:val="14"/>
                <w:lang w:val="en-US"/>
              </w:rPr>
            </w:pPr>
          </w:p>
        </w:tc>
        <w:tc>
          <w:tcPr>
            <w:tcW w:w="994" w:type="dxa"/>
            <w:shd w:val="clear" w:color="auto" w:fill="auto"/>
          </w:tcPr>
          <w:p w14:paraId="3DAD2DCF" w14:textId="452C4BF2" w:rsidR="00152846" w:rsidRPr="00152846" w:rsidRDefault="00152846" w:rsidP="00152846">
            <w:pPr>
              <w:spacing w:after="120" w:line="240" w:lineRule="auto"/>
              <w:ind w:right="40"/>
              <w:jc w:val="right"/>
              <w:rPr>
                <w:i/>
                <w:sz w:val="14"/>
                <w:lang w:val="en-US"/>
              </w:rPr>
            </w:pPr>
          </w:p>
        </w:tc>
        <w:tc>
          <w:tcPr>
            <w:tcW w:w="720" w:type="dxa"/>
            <w:shd w:val="clear" w:color="auto" w:fill="auto"/>
          </w:tcPr>
          <w:p w14:paraId="37C33A10" w14:textId="5B77CBD3" w:rsidR="00152846" w:rsidRPr="00152846" w:rsidRDefault="00152846" w:rsidP="00152846">
            <w:pPr>
              <w:spacing w:after="120" w:line="240" w:lineRule="auto"/>
              <w:ind w:right="40"/>
              <w:jc w:val="right"/>
              <w:rPr>
                <w:i/>
                <w:sz w:val="14"/>
                <w:lang w:val="en-US"/>
              </w:rPr>
            </w:pPr>
            <w:proofErr w:type="spellStart"/>
            <w:r>
              <w:rPr>
                <w:i/>
                <w:sz w:val="14"/>
                <w:lang w:val="en-US"/>
              </w:rPr>
              <w:t>Стр</w:t>
            </w:r>
            <w:proofErr w:type="spellEnd"/>
            <w:r>
              <w:rPr>
                <w:i/>
                <w:sz w:val="14"/>
                <w:lang w:val="en-US"/>
              </w:rPr>
              <w:t>.</w:t>
            </w:r>
          </w:p>
        </w:tc>
      </w:tr>
      <w:tr w:rsidR="001F395B" w:rsidRPr="00152846" w14:paraId="35B6E562" w14:textId="77777777" w:rsidTr="00152846">
        <w:tc>
          <w:tcPr>
            <w:tcW w:w="9110" w:type="dxa"/>
            <w:gridSpan w:val="3"/>
            <w:shd w:val="clear" w:color="auto" w:fill="auto"/>
          </w:tcPr>
          <w:p w14:paraId="0CD5EA23" w14:textId="453A076F" w:rsidR="001F395B" w:rsidRPr="00152846" w:rsidRDefault="001F395B" w:rsidP="001F395B">
            <w:pPr>
              <w:pStyle w:val="ListParagraph"/>
              <w:numPr>
                <w:ilvl w:val="0"/>
                <w:numId w:val="20"/>
              </w:numPr>
              <w:tabs>
                <w:tab w:val="right" w:pos="1080"/>
                <w:tab w:val="left" w:pos="1296"/>
                <w:tab w:val="left" w:pos="1728"/>
                <w:tab w:val="left" w:pos="2160"/>
                <w:tab w:val="right" w:leader="dot" w:pos="9317"/>
              </w:tabs>
              <w:spacing w:after="120"/>
              <w:rPr>
                <w:lang w:val="en-US"/>
              </w:rPr>
            </w:pPr>
            <w:r>
              <w:rPr>
                <w:lang w:val="en-US"/>
              </w:rPr>
              <w:tab/>
            </w:r>
            <w:proofErr w:type="spellStart"/>
            <w:r w:rsidRPr="00152846">
              <w:rPr>
                <w:lang w:val="en-US"/>
              </w:rPr>
              <w:t>Введение</w:t>
            </w:r>
            <w:proofErr w:type="spellEnd"/>
            <w:r>
              <w:rPr>
                <w:spacing w:val="60"/>
                <w:sz w:val="17"/>
                <w:lang w:val="en-US"/>
              </w:rPr>
              <w:tab/>
            </w:r>
            <w:r>
              <w:rPr>
                <w:spacing w:val="60"/>
                <w:sz w:val="17"/>
                <w:lang w:val="en-US"/>
              </w:rPr>
              <w:tab/>
            </w:r>
          </w:p>
        </w:tc>
        <w:tc>
          <w:tcPr>
            <w:tcW w:w="720" w:type="dxa"/>
            <w:shd w:val="clear" w:color="auto" w:fill="auto"/>
            <w:vAlign w:val="bottom"/>
          </w:tcPr>
          <w:p w14:paraId="05840B6C" w14:textId="1173F88C" w:rsidR="001F395B" w:rsidRPr="00152846" w:rsidRDefault="001F395B" w:rsidP="001F395B">
            <w:pPr>
              <w:spacing w:after="120"/>
              <w:ind w:right="40"/>
              <w:jc w:val="right"/>
              <w:rPr>
                <w:lang w:val="en-US"/>
              </w:rPr>
            </w:pPr>
            <w:r>
              <w:rPr>
                <w:lang w:val="en-US"/>
              </w:rPr>
              <w:t>5</w:t>
            </w:r>
          </w:p>
        </w:tc>
      </w:tr>
      <w:tr w:rsidR="001F395B" w:rsidRPr="00152846" w14:paraId="3297667D" w14:textId="77777777" w:rsidTr="00152846">
        <w:tc>
          <w:tcPr>
            <w:tcW w:w="9110" w:type="dxa"/>
            <w:gridSpan w:val="3"/>
            <w:shd w:val="clear" w:color="auto" w:fill="auto"/>
          </w:tcPr>
          <w:p w14:paraId="299975E4" w14:textId="342D5DD6" w:rsidR="001F395B" w:rsidRDefault="001F395B" w:rsidP="001F395B">
            <w:pPr>
              <w:pStyle w:val="ListParagraph"/>
              <w:numPr>
                <w:ilvl w:val="0"/>
                <w:numId w:val="20"/>
              </w:numPr>
              <w:tabs>
                <w:tab w:val="right" w:pos="1080"/>
                <w:tab w:val="left" w:pos="1296"/>
                <w:tab w:val="left" w:pos="1728"/>
                <w:tab w:val="right" w:leader="dot" w:pos="9317"/>
              </w:tabs>
              <w:spacing w:after="120"/>
              <w:rPr>
                <w:lang w:val="en-US"/>
              </w:rPr>
            </w:pPr>
            <w:r>
              <w:rPr>
                <w:lang w:val="en-US"/>
              </w:rPr>
              <w:tab/>
            </w:r>
            <w:proofErr w:type="spellStart"/>
            <w:r w:rsidRPr="00152846">
              <w:rPr>
                <w:lang w:val="en-US"/>
              </w:rPr>
              <w:t>Задачи</w:t>
            </w:r>
            <w:proofErr w:type="spellEnd"/>
            <w:r>
              <w:rPr>
                <w:spacing w:val="60"/>
                <w:sz w:val="17"/>
                <w:lang w:val="en-US"/>
              </w:rPr>
              <w:tab/>
            </w:r>
          </w:p>
        </w:tc>
        <w:tc>
          <w:tcPr>
            <w:tcW w:w="720" w:type="dxa"/>
            <w:shd w:val="clear" w:color="auto" w:fill="auto"/>
            <w:vAlign w:val="bottom"/>
          </w:tcPr>
          <w:p w14:paraId="7F4C70FC" w14:textId="2912C703" w:rsidR="001F395B" w:rsidRPr="00152846" w:rsidRDefault="001F395B" w:rsidP="001F395B">
            <w:pPr>
              <w:spacing w:after="120"/>
              <w:ind w:right="40"/>
              <w:jc w:val="right"/>
              <w:rPr>
                <w:lang w:val="en-US"/>
              </w:rPr>
            </w:pPr>
            <w:r>
              <w:rPr>
                <w:lang w:val="en-US"/>
              </w:rPr>
              <w:t>5</w:t>
            </w:r>
          </w:p>
        </w:tc>
      </w:tr>
      <w:tr w:rsidR="001F395B" w:rsidRPr="00152846" w14:paraId="1CFD2D0A" w14:textId="77777777" w:rsidTr="00152846">
        <w:tc>
          <w:tcPr>
            <w:tcW w:w="9110" w:type="dxa"/>
            <w:gridSpan w:val="3"/>
            <w:shd w:val="clear" w:color="auto" w:fill="auto"/>
          </w:tcPr>
          <w:p w14:paraId="55658D9E" w14:textId="685168DA" w:rsidR="001F395B" w:rsidRDefault="001F395B" w:rsidP="001F395B">
            <w:pPr>
              <w:pStyle w:val="ListParagraph"/>
              <w:numPr>
                <w:ilvl w:val="0"/>
                <w:numId w:val="20"/>
              </w:numPr>
              <w:tabs>
                <w:tab w:val="right" w:pos="1080"/>
                <w:tab w:val="left" w:pos="1296"/>
                <w:tab w:val="left" w:pos="1728"/>
                <w:tab w:val="left" w:pos="2160"/>
                <w:tab w:val="right" w:leader="dot" w:pos="9317"/>
              </w:tabs>
              <w:spacing w:after="120"/>
              <w:rPr>
                <w:lang w:val="en-US"/>
              </w:rPr>
            </w:pPr>
            <w:r>
              <w:rPr>
                <w:lang w:val="en-US"/>
              </w:rPr>
              <w:tab/>
            </w:r>
            <w:proofErr w:type="spellStart"/>
            <w:r w:rsidRPr="00152846">
              <w:rPr>
                <w:lang w:val="en-US"/>
              </w:rPr>
              <w:t>Заключение</w:t>
            </w:r>
            <w:proofErr w:type="spellEnd"/>
            <w:r>
              <w:rPr>
                <w:spacing w:val="60"/>
                <w:sz w:val="17"/>
                <w:lang w:val="en-US"/>
              </w:rPr>
              <w:tab/>
            </w:r>
          </w:p>
        </w:tc>
        <w:tc>
          <w:tcPr>
            <w:tcW w:w="720" w:type="dxa"/>
            <w:shd w:val="clear" w:color="auto" w:fill="auto"/>
            <w:vAlign w:val="bottom"/>
          </w:tcPr>
          <w:p w14:paraId="33F6C555" w14:textId="506981C0" w:rsidR="001F395B" w:rsidRPr="00152846" w:rsidRDefault="001F395B" w:rsidP="001F395B">
            <w:pPr>
              <w:spacing w:after="120"/>
              <w:ind w:right="40"/>
              <w:jc w:val="right"/>
              <w:rPr>
                <w:lang w:val="en-US"/>
              </w:rPr>
            </w:pPr>
            <w:r>
              <w:rPr>
                <w:lang w:val="en-US"/>
              </w:rPr>
              <w:t>5</w:t>
            </w:r>
          </w:p>
        </w:tc>
      </w:tr>
      <w:tr w:rsidR="001F395B" w:rsidRPr="00152846" w14:paraId="1A76728F" w14:textId="77777777" w:rsidTr="00152846">
        <w:tc>
          <w:tcPr>
            <w:tcW w:w="9110" w:type="dxa"/>
            <w:gridSpan w:val="3"/>
            <w:shd w:val="clear" w:color="auto" w:fill="auto"/>
          </w:tcPr>
          <w:p w14:paraId="22185B32" w14:textId="565FC4C1" w:rsidR="001F395B" w:rsidRPr="00152846" w:rsidRDefault="001F395B" w:rsidP="001F395B">
            <w:pPr>
              <w:pStyle w:val="ListParagraph"/>
              <w:numPr>
                <w:ilvl w:val="1"/>
                <w:numId w:val="20"/>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17"/>
              </w:tabs>
              <w:spacing w:after="120"/>
            </w:pPr>
            <w:r w:rsidRPr="00152846">
              <w:t>Обязанности руководства ЮНФПА и УАР</w:t>
            </w:r>
            <w:r>
              <w:rPr>
                <w:spacing w:val="60"/>
                <w:sz w:val="17"/>
              </w:rPr>
              <w:tab/>
            </w:r>
          </w:p>
        </w:tc>
        <w:tc>
          <w:tcPr>
            <w:tcW w:w="720" w:type="dxa"/>
            <w:shd w:val="clear" w:color="auto" w:fill="auto"/>
            <w:vAlign w:val="bottom"/>
          </w:tcPr>
          <w:p w14:paraId="1B6F5E04" w14:textId="7AA37D69" w:rsidR="001F395B" w:rsidRPr="00152846" w:rsidRDefault="001F395B" w:rsidP="001F395B">
            <w:pPr>
              <w:spacing w:after="120"/>
              <w:ind w:right="40"/>
              <w:jc w:val="right"/>
            </w:pPr>
            <w:r>
              <w:rPr>
                <w:lang w:val="en-US"/>
              </w:rPr>
              <w:t>5</w:t>
            </w:r>
          </w:p>
        </w:tc>
      </w:tr>
      <w:tr w:rsidR="001F395B" w:rsidRPr="00152846" w14:paraId="35FE1DB7" w14:textId="77777777" w:rsidTr="00152846">
        <w:tc>
          <w:tcPr>
            <w:tcW w:w="9110" w:type="dxa"/>
            <w:gridSpan w:val="3"/>
            <w:shd w:val="clear" w:color="auto" w:fill="auto"/>
          </w:tcPr>
          <w:p w14:paraId="29F2C8B1" w14:textId="6E4A0595" w:rsidR="001F395B" w:rsidRPr="00152846" w:rsidRDefault="001F395B" w:rsidP="001F395B">
            <w:pPr>
              <w:pStyle w:val="ListParagraph"/>
              <w:numPr>
                <w:ilvl w:val="1"/>
                <w:numId w:val="20"/>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17"/>
              </w:tabs>
              <w:spacing w:after="120"/>
            </w:pPr>
            <w:r w:rsidRPr="00152846">
              <w:t>Основание для заключения внутреннего аудита</w:t>
            </w:r>
            <w:r>
              <w:rPr>
                <w:spacing w:val="60"/>
                <w:sz w:val="17"/>
              </w:rPr>
              <w:tab/>
            </w:r>
          </w:p>
        </w:tc>
        <w:tc>
          <w:tcPr>
            <w:tcW w:w="720" w:type="dxa"/>
            <w:shd w:val="clear" w:color="auto" w:fill="auto"/>
            <w:vAlign w:val="bottom"/>
          </w:tcPr>
          <w:p w14:paraId="620A08BD" w14:textId="6D0F1D1A" w:rsidR="001F395B" w:rsidRPr="00152846" w:rsidRDefault="001F395B" w:rsidP="001F395B">
            <w:pPr>
              <w:spacing w:after="120"/>
              <w:ind w:right="40"/>
              <w:jc w:val="right"/>
            </w:pPr>
            <w:r>
              <w:rPr>
                <w:lang w:val="en-US"/>
              </w:rPr>
              <w:t>5</w:t>
            </w:r>
          </w:p>
        </w:tc>
      </w:tr>
      <w:tr w:rsidR="001F395B" w:rsidRPr="00152846" w14:paraId="66C1E5DA" w14:textId="77777777" w:rsidTr="00152846">
        <w:tc>
          <w:tcPr>
            <w:tcW w:w="9110" w:type="dxa"/>
            <w:gridSpan w:val="3"/>
            <w:shd w:val="clear" w:color="auto" w:fill="auto"/>
          </w:tcPr>
          <w:p w14:paraId="00A65153" w14:textId="2C6D4006" w:rsidR="001F395B" w:rsidRPr="00152846" w:rsidRDefault="001F395B" w:rsidP="001F395B">
            <w:pPr>
              <w:pStyle w:val="ListParagraph"/>
              <w:numPr>
                <w:ilvl w:val="1"/>
                <w:numId w:val="20"/>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17"/>
              </w:tabs>
              <w:spacing w:after="120"/>
            </w:pPr>
            <w:r w:rsidRPr="00152846">
              <w:t>Исключения из заключения внутреннего аудита</w:t>
            </w:r>
            <w:r>
              <w:rPr>
                <w:spacing w:val="60"/>
                <w:sz w:val="17"/>
              </w:rPr>
              <w:tab/>
            </w:r>
          </w:p>
        </w:tc>
        <w:tc>
          <w:tcPr>
            <w:tcW w:w="720" w:type="dxa"/>
            <w:shd w:val="clear" w:color="auto" w:fill="auto"/>
            <w:vAlign w:val="bottom"/>
          </w:tcPr>
          <w:p w14:paraId="078A7BF4" w14:textId="77DC674D" w:rsidR="001F395B" w:rsidRPr="00152846" w:rsidRDefault="001F395B" w:rsidP="001F395B">
            <w:pPr>
              <w:spacing w:after="120"/>
              <w:ind w:right="40"/>
              <w:jc w:val="right"/>
            </w:pPr>
            <w:r>
              <w:rPr>
                <w:lang w:val="en-US"/>
              </w:rPr>
              <w:t>6</w:t>
            </w:r>
          </w:p>
        </w:tc>
      </w:tr>
      <w:tr w:rsidR="001F395B" w:rsidRPr="00152846" w14:paraId="5BCD08CF" w14:textId="77777777" w:rsidTr="00152846">
        <w:tc>
          <w:tcPr>
            <w:tcW w:w="9110" w:type="dxa"/>
            <w:gridSpan w:val="3"/>
            <w:shd w:val="clear" w:color="auto" w:fill="auto"/>
          </w:tcPr>
          <w:p w14:paraId="7BBFE4E1" w14:textId="36EB6AD5" w:rsidR="001F395B" w:rsidRPr="00152846" w:rsidRDefault="001F395B" w:rsidP="001F395B">
            <w:pPr>
              <w:pStyle w:val="ListParagraph"/>
              <w:numPr>
                <w:ilvl w:val="1"/>
                <w:numId w:val="20"/>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17"/>
              </w:tabs>
              <w:spacing w:after="120"/>
            </w:pPr>
            <w:r w:rsidRPr="00152846">
              <w:t>Общее заключение по внутреннему аудиту</w:t>
            </w:r>
            <w:r>
              <w:rPr>
                <w:spacing w:val="60"/>
                <w:sz w:val="17"/>
              </w:rPr>
              <w:tab/>
            </w:r>
          </w:p>
        </w:tc>
        <w:tc>
          <w:tcPr>
            <w:tcW w:w="720" w:type="dxa"/>
            <w:shd w:val="clear" w:color="auto" w:fill="auto"/>
            <w:vAlign w:val="bottom"/>
          </w:tcPr>
          <w:p w14:paraId="0BBC8F2B" w14:textId="5D73F4B9" w:rsidR="001F395B" w:rsidRPr="00152846" w:rsidRDefault="001F395B" w:rsidP="001F395B">
            <w:pPr>
              <w:spacing w:after="120"/>
              <w:ind w:right="40"/>
              <w:jc w:val="right"/>
            </w:pPr>
            <w:r>
              <w:rPr>
                <w:lang w:val="en-US"/>
              </w:rPr>
              <w:t>6</w:t>
            </w:r>
          </w:p>
        </w:tc>
      </w:tr>
      <w:tr w:rsidR="001F395B" w:rsidRPr="00152846" w14:paraId="62F73C15" w14:textId="77777777" w:rsidTr="00152846">
        <w:tc>
          <w:tcPr>
            <w:tcW w:w="9110" w:type="dxa"/>
            <w:gridSpan w:val="3"/>
            <w:shd w:val="clear" w:color="auto" w:fill="auto"/>
          </w:tcPr>
          <w:p w14:paraId="69351224" w14:textId="72DA0200" w:rsidR="001F395B" w:rsidRPr="00152846" w:rsidRDefault="001F395B" w:rsidP="001F395B">
            <w:pPr>
              <w:pStyle w:val="ListParagraph"/>
              <w:numPr>
                <w:ilvl w:val="0"/>
                <w:numId w:val="20"/>
              </w:numPr>
              <w:tabs>
                <w:tab w:val="right" w:pos="1080"/>
                <w:tab w:val="left" w:pos="1296"/>
                <w:tab w:val="left" w:pos="1728"/>
                <w:tab w:val="left" w:pos="2160"/>
                <w:tab w:val="left" w:pos="2592"/>
                <w:tab w:val="left" w:pos="3024"/>
                <w:tab w:val="left" w:pos="3456"/>
                <w:tab w:val="left" w:pos="3888"/>
                <w:tab w:val="left" w:pos="4320"/>
                <w:tab w:val="left" w:pos="4752"/>
                <w:tab w:val="right" w:leader="dot" w:pos="9317"/>
              </w:tabs>
              <w:spacing w:after="120"/>
            </w:pPr>
            <w:r w:rsidRPr="00FE22B0">
              <w:tab/>
            </w:r>
            <w:r>
              <w:t>З</w:t>
            </w:r>
            <w:r w:rsidRPr="00152846">
              <w:t>аявление о независимости УАР и соответствии стандартам внутреннего аудита и принципам проведени</w:t>
            </w:r>
            <w:r>
              <w:t>я расследований</w:t>
            </w:r>
            <w:r>
              <w:rPr>
                <w:spacing w:val="60"/>
                <w:sz w:val="17"/>
              </w:rPr>
              <w:tab/>
            </w:r>
          </w:p>
        </w:tc>
        <w:tc>
          <w:tcPr>
            <w:tcW w:w="720" w:type="dxa"/>
            <w:shd w:val="clear" w:color="auto" w:fill="auto"/>
            <w:vAlign w:val="bottom"/>
          </w:tcPr>
          <w:p w14:paraId="3405F0E4" w14:textId="448051DF" w:rsidR="001F395B" w:rsidRPr="00152846" w:rsidRDefault="001F395B" w:rsidP="001F395B">
            <w:pPr>
              <w:spacing w:after="120"/>
              <w:ind w:right="40"/>
              <w:jc w:val="right"/>
            </w:pPr>
            <w:r>
              <w:rPr>
                <w:lang w:val="en-US"/>
              </w:rPr>
              <w:t>6</w:t>
            </w:r>
          </w:p>
        </w:tc>
      </w:tr>
      <w:tr w:rsidR="001F395B" w:rsidRPr="00152846" w14:paraId="73BCB0C3" w14:textId="77777777" w:rsidTr="00152846">
        <w:tc>
          <w:tcPr>
            <w:tcW w:w="9110" w:type="dxa"/>
            <w:gridSpan w:val="3"/>
            <w:shd w:val="clear" w:color="auto" w:fill="auto"/>
          </w:tcPr>
          <w:p w14:paraId="4C77C429" w14:textId="746B024D" w:rsidR="001F395B" w:rsidRPr="00152846" w:rsidRDefault="001F395B" w:rsidP="001F395B">
            <w:pPr>
              <w:pStyle w:val="ListParagraph"/>
              <w:numPr>
                <w:ilvl w:val="0"/>
                <w:numId w:val="20"/>
              </w:numPr>
              <w:tabs>
                <w:tab w:val="right" w:pos="1080"/>
                <w:tab w:val="left" w:pos="1296"/>
                <w:tab w:val="left" w:pos="1728"/>
                <w:tab w:val="left" w:pos="2160"/>
                <w:tab w:val="left" w:pos="2592"/>
                <w:tab w:val="left" w:pos="3024"/>
                <w:tab w:val="left" w:pos="3456"/>
                <w:tab w:val="left" w:pos="3888"/>
                <w:tab w:val="left" w:pos="4320"/>
                <w:tab w:val="right" w:leader="dot" w:pos="9317"/>
              </w:tabs>
              <w:spacing w:after="120"/>
            </w:pPr>
            <w:r>
              <w:tab/>
            </w:r>
            <w:r w:rsidRPr="00152846">
              <w:t>Штатное расписание и бюджет УАР</w:t>
            </w:r>
            <w:r>
              <w:rPr>
                <w:spacing w:val="60"/>
                <w:sz w:val="17"/>
              </w:rPr>
              <w:tab/>
            </w:r>
          </w:p>
        </w:tc>
        <w:tc>
          <w:tcPr>
            <w:tcW w:w="720" w:type="dxa"/>
            <w:shd w:val="clear" w:color="auto" w:fill="auto"/>
            <w:vAlign w:val="bottom"/>
          </w:tcPr>
          <w:p w14:paraId="29AD2DA4" w14:textId="09D1AABC" w:rsidR="001F395B" w:rsidRPr="00152846" w:rsidRDefault="001F395B" w:rsidP="001F395B">
            <w:pPr>
              <w:spacing w:after="120"/>
              <w:ind w:right="40"/>
              <w:jc w:val="right"/>
            </w:pPr>
            <w:r>
              <w:rPr>
                <w:lang w:val="en-US"/>
              </w:rPr>
              <w:t>7</w:t>
            </w:r>
          </w:p>
        </w:tc>
      </w:tr>
      <w:tr w:rsidR="001F395B" w:rsidRPr="00152846" w14:paraId="2CA1F8F3" w14:textId="77777777" w:rsidTr="00152846">
        <w:tc>
          <w:tcPr>
            <w:tcW w:w="9110" w:type="dxa"/>
            <w:gridSpan w:val="3"/>
            <w:shd w:val="clear" w:color="auto" w:fill="auto"/>
          </w:tcPr>
          <w:p w14:paraId="69990A2B" w14:textId="7D32B4BF" w:rsidR="001F395B" w:rsidRDefault="001F395B" w:rsidP="001F395B">
            <w:pPr>
              <w:pStyle w:val="ListParagraph"/>
              <w:numPr>
                <w:ilvl w:val="0"/>
                <w:numId w:val="20"/>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17"/>
              </w:tabs>
              <w:spacing w:after="120"/>
            </w:pPr>
            <w:r>
              <w:tab/>
            </w:r>
            <w:r w:rsidRPr="00152846">
              <w:t>Выполнение плана аудита на 2024 год с учетом рисков</w:t>
            </w:r>
            <w:r>
              <w:rPr>
                <w:spacing w:val="60"/>
                <w:sz w:val="17"/>
              </w:rPr>
              <w:tab/>
            </w:r>
          </w:p>
        </w:tc>
        <w:tc>
          <w:tcPr>
            <w:tcW w:w="720" w:type="dxa"/>
            <w:shd w:val="clear" w:color="auto" w:fill="auto"/>
            <w:vAlign w:val="bottom"/>
          </w:tcPr>
          <w:p w14:paraId="2F280058" w14:textId="4B8FB627" w:rsidR="001F395B" w:rsidRPr="00152846" w:rsidRDefault="001F395B" w:rsidP="001F395B">
            <w:pPr>
              <w:spacing w:after="120"/>
              <w:ind w:right="40"/>
              <w:jc w:val="right"/>
            </w:pPr>
            <w:r>
              <w:rPr>
                <w:lang w:val="en-US"/>
              </w:rPr>
              <w:t>8</w:t>
            </w:r>
          </w:p>
        </w:tc>
      </w:tr>
      <w:tr w:rsidR="001F395B" w:rsidRPr="00152846" w14:paraId="68A9C606" w14:textId="77777777" w:rsidTr="00152846">
        <w:tc>
          <w:tcPr>
            <w:tcW w:w="9110" w:type="dxa"/>
            <w:gridSpan w:val="3"/>
            <w:shd w:val="clear" w:color="auto" w:fill="auto"/>
          </w:tcPr>
          <w:p w14:paraId="580AF2D6" w14:textId="6F1874B8" w:rsidR="001F395B" w:rsidRDefault="001F395B" w:rsidP="001F395B">
            <w:pPr>
              <w:pStyle w:val="ListParagraph"/>
              <w:numPr>
                <w:ilvl w:val="0"/>
                <w:numId w:val="20"/>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17"/>
              </w:tabs>
              <w:spacing w:after="120"/>
            </w:pPr>
            <w:r>
              <w:tab/>
            </w:r>
            <w:r w:rsidRPr="00152846">
              <w:t>Деятельность и результаты внутреннего аудита</w:t>
            </w:r>
            <w:r>
              <w:rPr>
                <w:spacing w:val="60"/>
                <w:sz w:val="17"/>
              </w:rPr>
              <w:tab/>
            </w:r>
          </w:p>
        </w:tc>
        <w:tc>
          <w:tcPr>
            <w:tcW w:w="720" w:type="dxa"/>
            <w:shd w:val="clear" w:color="auto" w:fill="auto"/>
            <w:vAlign w:val="bottom"/>
          </w:tcPr>
          <w:p w14:paraId="3712D608" w14:textId="634BD76C" w:rsidR="001F395B" w:rsidRPr="00152846" w:rsidRDefault="001F395B" w:rsidP="001F395B">
            <w:pPr>
              <w:spacing w:after="120"/>
              <w:ind w:right="40"/>
              <w:jc w:val="right"/>
            </w:pPr>
            <w:r>
              <w:rPr>
                <w:lang w:val="en-US"/>
              </w:rPr>
              <w:t>10</w:t>
            </w:r>
          </w:p>
        </w:tc>
      </w:tr>
      <w:tr w:rsidR="001F395B" w:rsidRPr="00152846" w14:paraId="41187932" w14:textId="77777777" w:rsidTr="00152846">
        <w:tc>
          <w:tcPr>
            <w:tcW w:w="9110" w:type="dxa"/>
            <w:gridSpan w:val="3"/>
            <w:shd w:val="clear" w:color="auto" w:fill="auto"/>
          </w:tcPr>
          <w:p w14:paraId="2274A107" w14:textId="02AFBBDD" w:rsidR="001F395B" w:rsidRDefault="001F395B" w:rsidP="001F395B">
            <w:pPr>
              <w:pStyle w:val="ListParagraph"/>
              <w:numPr>
                <w:ilvl w:val="1"/>
                <w:numId w:val="20"/>
              </w:numPr>
              <w:tabs>
                <w:tab w:val="right" w:pos="1080"/>
                <w:tab w:val="left" w:pos="1296"/>
                <w:tab w:val="left" w:pos="1728"/>
                <w:tab w:val="left" w:pos="2160"/>
                <w:tab w:val="left" w:pos="2592"/>
                <w:tab w:val="left" w:pos="3024"/>
                <w:tab w:val="right" w:leader="dot" w:pos="9317"/>
              </w:tabs>
              <w:spacing w:after="120"/>
            </w:pPr>
            <w:r w:rsidRPr="00152846">
              <w:t>Передовой опыт</w:t>
            </w:r>
            <w:r>
              <w:rPr>
                <w:spacing w:val="60"/>
                <w:sz w:val="17"/>
              </w:rPr>
              <w:tab/>
            </w:r>
          </w:p>
        </w:tc>
        <w:tc>
          <w:tcPr>
            <w:tcW w:w="720" w:type="dxa"/>
            <w:shd w:val="clear" w:color="auto" w:fill="auto"/>
            <w:vAlign w:val="bottom"/>
          </w:tcPr>
          <w:p w14:paraId="6F523DC4" w14:textId="6F944198" w:rsidR="001F395B" w:rsidRPr="00152846" w:rsidRDefault="001F395B" w:rsidP="001F395B">
            <w:pPr>
              <w:spacing w:after="120"/>
              <w:ind w:right="40"/>
              <w:jc w:val="right"/>
            </w:pPr>
            <w:r>
              <w:rPr>
                <w:lang w:val="en-US"/>
              </w:rPr>
              <w:t>10</w:t>
            </w:r>
          </w:p>
        </w:tc>
      </w:tr>
      <w:tr w:rsidR="001F395B" w:rsidRPr="00152846" w14:paraId="531FA107" w14:textId="77777777" w:rsidTr="00152846">
        <w:tc>
          <w:tcPr>
            <w:tcW w:w="9110" w:type="dxa"/>
            <w:gridSpan w:val="3"/>
            <w:shd w:val="clear" w:color="auto" w:fill="auto"/>
          </w:tcPr>
          <w:p w14:paraId="7C13EF5A" w14:textId="2FB9A95B" w:rsidR="001F395B" w:rsidRPr="00152846" w:rsidRDefault="001F395B" w:rsidP="001F395B">
            <w:pPr>
              <w:pStyle w:val="ListParagraph"/>
              <w:numPr>
                <w:ilvl w:val="1"/>
                <w:numId w:val="20"/>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17"/>
              </w:tabs>
              <w:spacing w:after="120"/>
            </w:pPr>
            <w:r w:rsidRPr="00152846">
              <w:t>Отчеты о рейтингах, проблемах аудита и рекомендациях</w:t>
            </w:r>
            <w:r>
              <w:rPr>
                <w:spacing w:val="60"/>
                <w:sz w:val="17"/>
              </w:rPr>
              <w:tab/>
            </w:r>
          </w:p>
        </w:tc>
        <w:tc>
          <w:tcPr>
            <w:tcW w:w="720" w:type="dxa"/>
            <w:shd w:val="clear" w:color="auto" w:fill="auto"/>
            <w:vAlign w:val="bottom"/>
          </w:tcPr>
          <w:p w14:paraId="23D23A9F" w14:textId="25A54B9F" w:rsidR="001F395B" w:rsidRPr="00152846" w:rsidRDefault="001F395B" w:rsidP="001F395B">
            <w:pPr>
              <w:spacing w:after="120"/>
              <w:ind w:right="40"/>
              <w:jc w:val="right"/>
            </w:pPr>
            <w:r>
              <w:rPr>
                <w:lang w:val="en-US"/>
              </w:rPr>
              <w:t>11</w:t>
            </w:r>
          </w:p>
        </w:tc>
      </w:tr>
      <w:tr w:rsidR="001F395B" w:rsidRPr="00152846" w14:paraId="09BDFCBB" w14:textId="77777777" w:rsidTr="00152846">
        <w:tc>
          <w:tcPr>
            <w:tcW w:w="9110" w:type="dxa"/>
            <w:gridSpan w:val="3"/>
            <w:shd w:val="clear" w:color="auto" w:fill="auto"/>
          </w:tcPr>
          <w:p w14:paraId="5C3E625D" w14:textId="7C31B09A" w:rsidR="001F395B" w:rsidRPr="00152846" w:rsidRDefault="001F395B" w:rsidP="001F395B">
            <w:pPr>
              <w:pStyle w:val="ListParagraph"/>
              <w:numPr>
                <w:ilvl w:val="1"/>
                <w:numId w:val="20"/>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17"/>
              </w:tabs>
              <w:spacing w:after="120"/>
            </w:pPr>
            <w:r w:rsidRPr="00152846">
              <w:t>Выполнение рекомендаций внутреннего аудита</w:t>
            </w:r>
            <w:r>
              <w:rPr>
                <w:spacing w:val="60"/>
                <w:sz w:val="17"/>
              </w:rPr>
              <w:tab/>
            </w:r>
          </w:p>
        </w:tc>
        <w:tc>
          <w:tcPr>
            <w:tcW w:w="720" w:type="dxa"/>
            <w:shd w:val="clear" w:color="auto" w:fill="auto"/>
            <w:vAlign w:val="bottom"/>
          </w:tcPr>
          <w:p w14:paraId="605075A4" w14:textId="5152DFB6" w:rsidR="001F395B" w:rsidRPr="00152846" w:rsidRDefault="001F395B" w:rsidP="001F395B">
            <w:pPr>
              <w:spacing w:after="120"/>
              <w:ind w:right="40"/>
              <w:jc w:val="right"/>
            </w:pPr>
            <w:r>
              <w:rPr>
                <w:lang w:val="en-US"/>
              </w:rPr>
              <w:t>18</w:t>
            </w:r>
          </w:p>
        </w:tc>
      </w:tr>
      <w:tr w:rsidR="001F395B" w:rsidRPr="00152846" w14:paraId="2740B90A" w14:textId="77777777" w:rsidTr="00152846">
        <w:tc>
          <w:tcPr>
            <w:tcW w:w="9110" w:type="dxa"/>
            <w:gridSpan w:val="3"/>
            <w:shd w:val="clear" w:color="auto" w:fill="auto"/>
          </w:tcPr>
          <w:p w14:paraId="1F9BD571" w14:textId="2A085BDB" w:rsidR="001F395B" w:rsidRPr="00152846" w:rsidRDefault="001F395B" w:rsidP="001F395B">
            <w:pPr>
              <w:pStyle w:val="ListParagraph"/>
              <w:numPr>
                <w:ilvl w:val="1"/>
                <w:numId w:val="20"/>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17"/>
              </w:tabs>
              <w:spacing w:after="120"/>
            </w:pPr>
            <w:r w:rsidRPr="00152846">
              <w:t>Выпуск и публикация отчетов о внутреннем аудите</w:t>
            </w:r>
            <w:r>
              <w:rPr>
                <w:spacing w:val="60"/>
                <w:sz w:val="17"/>
              </w:rPr>
              <w:tab/>
            </w:r>
          </w:p>
        </w:tc>
        <w:tc>
          <w:tcPr>
            <w:tcW w:w="720" w:type="dxa"/>
            <w:shd w:val="clear" w:color="auto" w:fill="auto"/>
            <w:vAlign w:val="bottom"/>
          </w:tcPr>
          <w:p w14:paraId="38581C41" w14:textId="735D37DC" w:rsidR="001F395B" w:rsidRPr="00152846" w:rsidRDefault="001F395B" w:rsidP="001F395B">
            <w:pPr>
              <w:spacing w:after="120"/>
              <w:ind w:right="40"/>
              <w:jc w:val="right"/>
            </w:pPr>
            <w:r>
              <w:rPr>
                <w:lang w:val="en-US"/>
              </w:rPr>
              <w:t>19</w:t>
            </w:r>
          </w:p>
        </w:tc>
      </w:tr>
      <w:tr w:rsidR="001F395B" w:rsidRPr="00152846" w14:paraId="28D9CD48" w14:textId="77777777" w:rsidTr="00152846">
        <w:tc>
          <w:tcPr>
            <w:tcW w:w="9110" w:type="dxa"/>
            <w:gridSpan w:val="3"/>
            <w:shd w:val="clear" w:color="auto" w:fill="auto"/>
          </w:tcPr>
          <w:p w14:paraId="04DCA022" w14:textId="38E9233A" w:rsidR="001F395B" w:rsidRPr="00152846" w:rsidRDefault="001F395B" w:rsidP="001F395B">
            <w:pPr>
              <w:pStyle w:val="ListParagraph"/>
              <w:numPr>
                <w:ilvl w:val="0"/>
                <w:numId w:val="20"/>
              </w:numPr>
              <w:tabs>
                <w:tab w:val="right" w:pos="1080"/>
                <w:tab w:val="left" w:pos="1296"/>
                <w:tab w:val="left" w:pos="1728"/>
                <w:tab w:val="left" w:pos="2160"/>
                <w:tab w:val="left" w:pos="2592"/>
                <w:tab w:val="left" w:pos="3024"/>
                <w:tab w:val="left" w:pos="3456"/>
                <w:tab w:val="left" w:pos="3888"/>
                <w:tab w:val="left" w:pos="4320"/>
                <w:tab w:val="right" w:leader="dot" w:pos="9317"/>
              </w:tabs>
              <w:spacing w:after="120"/>
            </w:pPr>
            <w:r>
              <w:tab/>
            </w:r>
            <w:r w:rsidRPr="00152846">
              <w:t>Следственные действия и результаты</w:t>
            </w:r>
            <w:r>
              <w:rPr>
                <w:spacing w:val="60"/>
                <w:sz w:val="17"/>
              </w:rPr>
              <w:tab/>
            </w:r>
          </w:p>
        </w:tc>
        <w:tc>
          <w:tcPr>
            <w:tcW w:w="720" w:type="dxa"/>
            <w:shd w:val="clear" w:color="auto" w:fill="auto"/>
            <w:vAlign w:val="bottom"/>
          </w:tcPr>
          <w:p w14:paraId="1EF7F0B3" w14:textId="5A34DE98" w:rsidR="001F395B" w:rsidRPr="00152846" w:rsidRDefault="001F395B" w:rsidP="001F395B">
            <w:pPr>
              <w:spacing w:after="120"/>
              <w:ind w:right="40"/>
              <w:jc w:val="right"/>
            </w:pPr>
            <w:r>
              <w:rPr>
                <w:lang w:val="en-US"/>
              </w:rPr>
              <w:t>19</w:t>
            </w:r>
          </w:p>
        </w:tc>
      </w:tr>
      <w:tr w:rsidR="001F395B" w:rsidRPr="00152846" w14:paraId="0AC2B4DD" w14:textId="77777777" w:rsidTr="00152846">
        <w:tc>
          <w:tcPr>
            <w:tcW w:w="9110" w:type="dxa"/>
            <w:gridSpan w:val="3"/>
            <w:shd w:val="clear" w:color="auto" w:fill="auto"/>
          </w:tcPr>
          <w:p w14:paraId="7FF7D9ED" w14:textId="38298EBB" w:rsidR="001F395B" w:rsidRDefault="001F395B" w:rsidP="001F395B">
            <w:pPr>
              <w:pStyle w:val="ListParagraph"/>
              <w:numPr>
                <w:ilvl w:val="0"/>
                <w:numId w:val="20"/>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17"/>
              </w:tabs>
              <w:spacing w:after="120"/>
            </w:pPr>
            <w:r>
              <w:tab/>
            </w:r>
            <w:r w:rsidRPr="00152846">
              <w:t>Консультационные услуги, оказанные в 2024 году</w:t>
            </w:r>
            <w:r>
              <w:rPr>
                <w:spacing w:val="60"/>
                <w:sz w:val="17"/>
              </w:rPr>
              <w:tab/>
            </w:r>
          </w:p>
        </w:tc>
        <w:tc>
          <w:tcPr>
            <w:tcW w:w="720" w:type="dxa"/>
            <w:shd w:val="clear" w:color="auto" w:fill="auto"/>
            <w:vAlign w:val="bottom"/>
          </w:tcPr>
          <w:p w14:paraId="627056E7" w14:textId="394C47CF" w:rsidR="001F395B" w:rsidRPr="00152846" w:rsidRDefault="001F395B" w:rsidP="001F395B">
            <w:pPr>
              <w:spacing w:after="120"/>
              <w:ind w:right="40"/>
              <w:jc w:val="right"/>
            </w:pPr>
            <w:r>
              <w:rPr>
                <w:lang w:val="en-US"/>
              </w:rPr>
              <w:t>31</w:t>
            </w:r>
          </w:p>
        </w:tc>
      </w:tr>
      <w:tr w:rsidR="001F395B" w:rsidRPr="00152846" w14:paraId="5BCED155" w14:textId="77777777" w:rsidTr="00152846">
        <w:tc>
          <w:tcPr>
            <w:tcW w:w="9110" w:type="dxa"/>
            <w:gridSpan w:val="3"/>
            <w:shd w:val="clear" w:color="auto" w:fill="auto"/>
          </w:tcPr>
          <w:p w14:paraId="05F1FDDD" w14:textId="2DEF9C2A" w:rsidR="001F395B" w:rsidRDefault="001F395B" w:rsidP="001F395B">
            <w:pPr>
              <w:pStyle w:val="ListParagraph"/>
              <w:numPr>
                <w:ilvl w:val="0"/>
                <w:numId w:val="20"/>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17"/>
              </w:tabs>
              <w:spacing w:after="120"/>
            </w:pPr>
            <w:r>
              <w:tab/>
            </w:r>
            <w:r w:rsidRPr="00152846">
              <w:t>Надзор, мониторинг и координация деятельности по аудиту и расследованиям</w:t>
            </w:r>
            <w:r>
              <w:rPr>
                <w:spacing w:val="60"/>
                <w:sz w:val="17"/>
              </w:rPr>
              <w:tab/>
            </w:r>
          </w:p>
        </w:tc>
        <w:tc>
          <w:tcPr>
            <w:tcW w:w="720" w:type="dxa"/>
            <w:shd w:val="clear" w:color="auto" w:fill="auto"/>
            <w:vAlign w:val="bottom"/>
          </w:tcPr>
          <w:p w14:paraId="2FA4AEB3" w14:textId="3E6B9AD4" w:rsidR="001F395B" w:rsidRPr="00152846" w:rsidRDefault="001F395B" w:rsidP="001F395B">
            <w:pPr>
              <w:spacing w:after="120"/>
              <w:ind w:right="40"/>
              <w:jc w:val="right"/>
            </w:pPr>
            <w:r>
              <w:rPr>
                <w:lang w:val="en-US"/>
              </w:rPr>
              <w:t>33</w:t>
            </w:r>
          </w:p>
        </w:tc>
      </w:tr>
      <w:tr w:rsidR="001F395B" w:rsidRPr="00152846" w14:paraId="6CE136C3" w14:textId="77777777" w:rsidTr="00152846">
        <w:tc>
          <w:tcPr>
            <w:tcW w:w="9110" w:type="dxa"/>
            <w:gridSpan w:val="3"/>
            <w:shd w:val="clear" w:color="auto" w:fill="auto"/>
          </w:tcPr>
          <w:p w14:paraId="44186416" w14:textId="6BB08635" w:rsidR="001F395B" w:rsidRDefault="001F395B" w:rsidP="001F395B">
            <w:pPr>
              <w:pStyle w:val="ListParagraph"/>
              <w:numPr>
                <w:ilvl w:val="0"/>
                <w:numId w:val="20"/>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17"/>
              </w:tabs>
              <w:spacing w:after="120"/>
            </w:pPr>
            <w:r>
              <w:tab/>
            </w:r>
            <w:r w:rsidRPr="00152846">
              <w:t>Другие мероприятия, проведенные в 2024 году</w:t>
            </w:r>
            <w:r>
              <w:rPr>
                <w:spacing w:val="60"/>
                <w:sz w:val="17"/>
              </w:rPr>
              <w:tab/>
            </w:r>
          </w:p>
        </w:tc>
        <w:tc>
          <w:tcPr>
            <w:tcW w:w="720" w:type="dxa"/>
            <w:shd w:val="clear" w:color="auto" w:fill="auto"/>
            <w:vAlign w:val="bottom"/>
          </w:tcPr>
          <w:p w14:paraId="76C489A3" w14:textId="411F8D8F" w:rsidR="001F395B" w:rsidRPr="00152846" w:rsidRDefault="001F395B" w:rsidP="001F395B">
            <w:pPr>
              <w:spacing w:after="120"/>
              <w:ind w:right="40"/>
              <w:jc w:val="right"/>
            </w:pPr>
            <w:r>
              <w:rPr>
                <w:lang w:val="en-US"/>
              </w:rPr>
              <w:t>34</w:t>
            </w:r>
          </w:p>
        </w:tc>
      </w:tr>
      <w:tr w:rsidR="001F395B" w:rsidRPr="00152846" w14:paraId="43D22072" w14:textId="77777777" w:rsidTr="00152846">
        <w:tc>
          <w:tcPr>
            <w:tcW w:w="9110" w:type="dxa"/>
            <w:gridSpan w:val="3"/>
            <w:shd w:val="clear" w:color="auto" w:fill="auto"/>
          </w:tcPr>
          <w:p w14:paraId="319C1F04" w14:textId="7C2FD822" w:rsidR="001F395B" w:rsidRDefault="001F395B" w:rsidP="001F395B">
            <w:pPr>
              <w:pStyle w:val="ListParagraph"/>
              <w:numPr>
                <w:ilvl w:val="0"/>
                <w:numId w:val="20"/>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17"/>
              </w:tabs>
              <w:spacing w:after="120"/>
            </w:pPr>
            <w:r>
              <w:tab/>
            </w:r>
            <w:r w:rsidRPr="00152846">
              <w:t>Обзор годовых планов работы УАР на 2025 год</w:t>
            </w:r>
            <w:r>
              <w:rPr>
                <w:spacing w:val="60"/>
                <w:sz w:val="17"/>
              </w:rPr>
              <w:tab/>
            </w:r>
          </w:p>
        </w:tc>
        <w:tc>
          <w:tcPr>
            <w:tcW w:w="720" w:type="dxa"/>
            <w:shd w:val="clear" w:color="auto" w:fill="auto"/>
            <w:vAlign w:val="bottom"/>
          </w:tcPr>
          <w:p w14:paraId="4D5EAAFA" w14:textId="728678EB" w:rsidR="001F395B" w:rsidRPr="00152846" w:rsidRDefault="001F395B" w:rsidP="001F395B">
            <w:pPr>
              <w:spacing w:after="120"/>
              <w:ind w:right="40"/>
              <w:jc w:val="right"/>
            </w:pPr>
            <w:r>
              <w:rPr>
                <w:lang w:val="en-US"/>
              </w:rPr>
              <w:t>34</w:t>
            </w:r>
          </w:p>
        </w:tc>
      </w:tr>
      <w:tr w:rsidR="001F395B" w:rsidRPr="00152846" w14:paraId="776BA39C" w14:textId="77777777" w:rsidTr="00152846">
        <w:tc>
          <w:tcPr>
            <w:tcW w:w="9110" w:type="dxa"/>
            <w:gridSpan w:val="3"/>
            <w:shd w:val="clear" w:color="auto" w:fill="auto"/>
          </w:tcPr>
          <w:p w14:paraId="13D94629" w14:textId="3017D01A" w:rsidR="001F395B" w:rsidRDefault="001F395B" w:rsidP="001F395B">
            <w:pPr>
              <w:pStyle w:val="ListParagraph"/>
              <w:numPr>
                <w:ilvl w:val="1"/>
                <w:numId w:val="20"/>
              </w:numPr>
              <w:tabs>
                <w:tab w:val="right" w:pos="1080"/>
                <w:tab w:val="left" w:pos="1296"/>
                <w:tab w:val="left" w:pos="1728"/>
                <w:tab w:val="left" w:pos="2160"/>
                <w:tab w:val="left" w:pos="2592"/>
                <w:tab w:val="left" w:pos="3024"/>
                <w:tab w:val="left" w:pos="3456"/>
                <w:tab w:val="left" w:pos="3888"/>
                <w:tab w:val="left" w:pos="4320"/>
                <w:tab w:val="left" w:pos="4752"/>
                <w:tab w:val="right" w:leader="dot" w:pos="9317"/>
              </w:tabs>
              <w:spacing w:after="120"/>
            </w:pPr>
            <w:r w:rsidRPr="00152846">
              <w:t>Рабочий план внутреннего аудита</w:t>
            </w:r>
            <w:r>
              <w:rPr>
                <w:spacing w:val="60"/>
                <w:sz w:val="17"/>
              </w:rPr>
              <w:tab/>
            </w:r>
          </w:p>
        </w:tc>
        <w:tc>
          <w:tcPr>
            <w:tcW w:w="720" w:type="dxa"/>
            <w:shd w:val="clear" w:color="auto" w:fill="auto"/>
            <w:vAlign w:val="bottom"/>
          </w:tcPr>
          <w:p w14:paraId="1165549C" w14:textId="2BD9C4A3" w:rsidR="001F395B" w:rsidRPr="00152846" w:rsidRDefault="001F395B" w:rsidP="001F395B">
            <w:pPr>
              <w:spacing w:after="120"/>
              <w:ind w:right="40"/>
              <w:jc w:val="right"/>
            </w:pPr>
            <w:r>
              <w:rPr>
                <w:lang w:val="en-US"/>
              </w:rPr>
              <w:t>34</w:t>
            </w:r>
          </w:p>
        </w:tc>
      </w:tr>
      <w:tr w:rsidR="001F395B" w:rsidRPr="00152846" w14:paraId="3C314F28" w14:textId="77777777" w:rsidTr="00152846">
        <w:tc>
          <w:tcPr>
            <w:tcW w:w="9110" w:type="dxa"/>
            <w:gridSpan w:val="3"/>
            <w:shd w:val="clear" w:color="auto" w:fill="auto"/>
          </w:tcPr>
          <w:p w14:paraId="26DDBDE6" w14:textId="2AA42ADF" w:rsidR="001F395B" w:rsidRPr="00152846" w:rsidRDefault="001F395B" w:rsidP="001F395B">
            <w:pPr>
              <w:pStyle w:val="ListParagraph"/>
              <w:numPr>
                <w:ilvl w:val="1"/>
                <w:numId w:val="20"/>
              </w:numPr>
              <w:tabs>
                <w:tab w:val="right" w:pos="1080"/>
                <w:tab w:val="left" w:pos="1296"/>
                <w:tab w:val="left" w:pos="1728"/>
                <w:tab w:val="left" w:pos="2160"/>
                <w:tab w:val="left" w:pos="2592"/>
                <w:tab w:val="left" w:pos="3024"/>
                <w:tab w:val="left" w:pos="3456"/>
                <w:tab w:val="left" w:pos="3888"/>
                <w:tab w:val="left" w:pos="4320"/>
                <w:tab w:val="left" w:pos="4752"/>
                <w:tab w:val="right" w:leader="dot" w:pos="9317"/>
              </w:tabs>
              <w:spacing w:after="120"/>
            </w:pPr>
            <w:r w:rsidRPr="00152846">
              <w:t>Рабочий план по расследованиям</w:t>
            </w:r>
            <w:r>
              <w:rPr>
                <w:spacing w:val="60"/>
                <w:sz w:val="17"/>
              </w:rPr>
              <w:tab/>
            </w:r>
          </w:p>
        </w:tc>
        <w:tc>
          <w:tcPr>
            <w:tcW w:w="720" w:type="dxa"/>
            <w:shd w:val="clear" w:color="auto" w:fill="auto"/>
            <w:vAlign w:val="bottom"/>
          </w:tcPr>
          <w:p w14:paraId="23CAF54D" w14:textId="5C595F07" w:rsidR="001F395B" w:rsidRPr="00152846" w:rsidRDefault="001F395B" w:rsidP="001F395B">
            <w:pPr>
              <w:spacing w:after="120"/>
              <w:ind w:right="40"/>
              <w:jc w:val="right"/>
            </w:pPr>
            <w:r>
              <w:rPr>
                <w:lang w:val="en-US"/>
              </w:rPr>
              <w:t>35</w:t>
            </w:r>
          </w:p>
        </w:tc>
      </w:tr>
      <w:tr w:rsidR="001F395B" w:rsidRPr="00152846" w14:paraId="2BE638D9" w14:textId="77777777" w:rsidTr="00152846">
        <w:tc>
          <w:tcPr>
            <w:tcW w:w="9110" w:type="dxa"/>
            <w:gridSpan w:val="3"/>
            <w:shd w:val="clear" w:color="auto" w:fill="auto"/>
          </w:tcPr>
          <w:p w14:paraId="03676BB2" w14:textId="6CC8C955" w:rsidR="001F395B" w:rsidRPr="00152846" w:rsidRDefault="001F395B" w:rsidP="001F395B">
            <w:pPr>
              <w:pStyle w:val="ListParagraph"/>
              <w:numPr>
                <w:ilvl w:val="0"/>
                <w:numId w:val="20"/>
              </w:numPr>
              <w:tabs>
                <w:tab w:val="right" w:pos="1080"/>
                <w:tab w:val="left" w:pos="1296"/>
                <w:tab w:val="left" w:pos="1728"/>
                <w:tab w:val="left" w:pos="2160"/>
                <w:tab w:val="right" w:leader="dot" w:pos="9317"/>
              </w:tabs>
              <w:spacing w:after="120"/>
            </w:pPr>
            <w:r>
              <w:tab/>
            </w:r>
            <w:r w:rsidRPr="00152846">
              <w:t>Перспективы</w:t>
            </w:r>
            <w:r>
              <w:rPr>
                <w:spacing w:val="60"/>
                <w:sz w:val="17"/>
              </w:rPr>
              <w:tab/>
            </w:r>
          </w:p>
        </w:tc>
        <w:tc>
          <w:tcPr>
            <w:tcW w:w="720" w:type="dxa"/>
            <w:shd w:val="clear" w:color="auto" w:fill="auto"/>
            <w:vAlign w:val="bottom"/>
          </w:tcPr>
          <w:p w14:paraId="319B3FAA" w14:textId="6B9F8A20" w:rsidR="001F395B" w:rsidRPr="00152846" w:rsidRDefault="001F395B" w:rsidP="001F395B">
            <w:pPr>
              <w:spacing w:after="120"/>
              <w:ind w:right="40"/>
              <w:jc w:val="right"/>
            </w:pPr>
            <w:r>
              <w:rPr>
                <w:lang w:val="en-US"/>
              </w:rPr>
              <w:t>36</w:t>
            </w:r>
          </w:p>
        </w:tc>
      </w:tr>
    </w:tbl>
    <w:bookmarkEnd w:id="3"/>
    <w:p w14:paraId="0BB5C5CA" w14:textId="12FA4B57" w:rsidR="00055BFC" w:rsidRPr="004C4882" w:rsidRDefault="00055BFC" w:rsidP="00055BFC">
      <w:pPr>
        <w:tabs>
          <w:tab w:val="left" w:pos="1260"/>
          <w:tab w:val="right" w:pos="1350"/>
        </w:tabs>
        <w:spacing w:before="120" w:after="60" w:line="240" w:lineRule="auto"/>
        <w:rPr>
          <w:rFonts w:eastAsia="Times New Roman"/>
          <w:szCs w:val="20"/>
        </w:rPr>
      </w:pPr>
      <w:r w:rsidRPr="004C4882">
        <w:rPr>
          <w:b/>
          <w:szCs w:val="20"/>
        </w:rPr>
        <w:t>Приложения</w:t>
      </w:r>
    </w:p>
    <w:p w14:paraId="57718E21" w14:textId="77777777" w:rsidR="00055BFC" w:rsidRPr="00CD2B42" w:rsidRDefault="00055BFC" w:rsidP="00055BFC">
      <w:pPr>
        <w:spacing w:line="240" w:lineRule="auto"/>
        <w:ind w:left="720" w:hanging="360"/>
        <w:rPr>
          <w:rFonts w:eastAsia="Times New Roman"/>
          <w:color w:val="000000"/>
          <w:sz w:val="18"/>
          <w:szCs w:val="18"/>
        </w:rPr>
      </w:pPr>
      <w:bookmarkStart w:id="4" w:name="_Hlk132092853"/>
      <w:r w:rsidRPr="004C4882">
        <w:rPr>
          <w:rFonts w:eastAsia="Times New Roman"/>
          <w:color w:val="000000"/>
          <w:sz w:val="18"/>
          <w:szCs w:val="18"/>
        </w:rPr>
        <w:t>1.</w:t>
      </w:r>
      <w:r w:rsidRPr="004C4882">
        <w:rPr>
          <w:rFonts w:eastAsia="Times New Roman"/>
          <w:color w:val="000000"/>
          <w:sz w:val="18"/>
          <w:szCs w:val="18"/>
        </w:rPr>
        <w:tab/>
      </w:r>
      <w:r w:rsidRPr="00CD2B42">
        <w:rPr>
          <w:color w:val="000000"/>
          <w:sz w:val="18"/>
          <w:szCs w:val="18"/>
        </w:rPr>
        <w:t>Устав УАР</w:t>
      </w:r>
    </w:p>
    <w:p w14:paraId="3A666739" w14:textId="77777777" w:rsidR="00055BFC" w:rsidRPr="00CD2B42" w:rsidRDefault="00055BFC" w:rsidP="00055BFC">
      <w:pPr>
        <w:spacing w:line="240" w:lineRule="auto"/>
        <w:ind w:left="720" w:hanging="360"/>
        <w:rPr>
          <w:rFonts w:eastAsia="Times New Roman"/>
          <w:color w:val="000000"/>
          <w:sz w:val="18"/>
          <w:szCs w:val="18"/>
        </w:rPr>
      </w:pPr>
      <w:r w:rsidRPr="004C4882">
        <w:rPr>
          <w:rFonts w:eastAsia="Times New Roman"/>
          <w:color w:val="000000"/>
          <w:sz w:val="18"/>
          <w:szCs w:val="18"/>
        </w:rPr>
        <w:t>2.</w:t>
      </w:r>
      <w:r w:rsidRPr="004C4882">
        <w:rPr>
          <w:rFonts w:eastAsia="Times New Roman"/>
          <w:color w:val="000000"/>
          <w:sz w:val="18"/>
          <w:szCs w:val="18"/>
        </w:rPr>
        <w:tab/>
      </w:r>
      <w:r w:rsidRPr="00CD2B42">
        <w:rPr>
          <w:color w:val="000000"/>
          <w:sz w:val="18"/>
          <w:szCs w:val="18"/>
        </w:rPr>
        <w:t xml:space="preserve">Основа заключения УАР за 2024 год о процессах руководства, управления рисками и внутреннего контроля ЮНФПА </w:t>
      </w:r>
    </w:p>
    <w:p w14:paraId="0592CA61" w14:textId="77777777" w:rsidR="00055BFC" w:rsidRPr="00CD2B42" w:rsidRDefault="00055BFC" w:rsidP="00055BFC">
      <w:pPr>
        <w:spacing w:line="240" w:lineRule="auto"/>
        <w:ind w:left="720" w:hanging="360"/>
        <w:rPr>
          <w:rFonts w:eastAsia="Times New Roman"/>
          <w:color w:val="000000"/>
          <w:sz w:val="18"/>
          <w:szCs w:val="18"/>
        </w:rPr>
      </w:pPr>
      <w:r w:rsidRPr="004C4882">
        <w:rPr>
          <w:rFonts w:eastAsia="Times New Roman"/>
          <w:color w:val="000000"/>
          <w:sz w:val="18"/>
          <w:szCs w:val="18"/>
        </w:rPr>
        <w:t>3.</w:t>
      </w:r>
      <w:r w:rsidRPr="004C4882">
        <w:rPr>
          <w:rFonts w:eastAsia="Times New Roman"/>
          <w:color w:val="000000"/>
          <w:sz w:val="18"/>
          <w:szCs w:val="18"/>
        </w:rPr>
        <w:tab/>
      </w:r>
      <w:r w:rsidRPr="00CD2B42">
        <w:rPr>
          <w:color w:val="000000"/>
          <w:sz w:val="18"/>
          <w:szCs w:val="18"/>
        </w:rPr>
        <w:t>Резюме по общим вопросам и областям высокого риска, отмеченным в аудиторских отчетах за 2024 год</w:t>
      </w:r>
    </w:p>
    <w:p w14:paraId="6B6AA874" w14:textId="77777777" w:rsidR="00055BFC" w:rsidRPr="00CD2B42" w:rsidRDefault="00055BFC" w:rsidP="00055BFC">
      <w:pPr>
        <w:spacing w:line="240" w:lineRule="auto"/>
        <w:ind w:left="720" w:hanging="360"/>
        <w:rPr>
          <w:rFonts w:eastAsia="Times New Roman"/>
          <w:color w:val="000000"/>
          <w:sz w:val="18"/>
          <w:szCs w:val="18"/>
        </w:rPr>
      </w:pPr>
      <w:r w:rsidRPr="004C4882">
        <w:rPr>
          <w:rFonts w:eastAsia="Times New Roman"/>
          <w:color w:val="000000"/>
          <w:sz w:val="18"/>
          <w:szCs w:val="18"/>
        </w:rPr>
        <w:t>4.</w:t>
      </w:r>
      <w:r w:rsidRPr="004C4882">
        <w:rPr>
          <w:rFonts w:eastAsia="Times New Roman"/>
          <w:color w:val="000000"/>
          <w:sz w:val="18"/>
          <w:szCs w:val="18"/>
        </w:rPr>
        <w:tab/>
      </w:r>
      <w:r w:rsidRPr="00CD2B42">
        <w:rPr>
          <w:color w:val="000000"/>
          <w:sz w:val="18"/>
          <w:szCs w:val="18"/>
        </w:rPr>
        <w:t>Резюме по отчетам о расследованиях и закрытии дел, опубликованных в 2024 году, с распределением по видам обвинений, по состоянию на 31 декабря 2024 года</w:t>
      </w:r>
    </w:p>
    <w:p w14:paraId="75CD5356" w14:textId="77777777" w:rsidR="00055BFC" w:rsidRPr="00CD2B42" w:rsidRDefault="00055BFC" w:rsidP="00055BFC">
      <w:pPr>
        <w:spacing w:line="240" w:lineRule="auto"/>
        <w:ind w:left="720" w:hanging="360"/>
        <w:rPr>
          <w:rFonts w:eastAsia="Times New Roman"/>
          <w:color w:val="000000"/>
          <w:sz w:val="18"/>
          <w:szCs w:val="18"/>
        </w:rPr>
      </w:pPr>
      <w:r w:rsidRPr="004C4882">
        <w:rPr>
          <w:rFonts w:eastAsia="Times New Roman"/>
          <w:color w:val="000000"/>
          <w:sz w:val="18"/>
          <w:szCs w:val="18"/>
        </w:rPr>
        <w:t>5.</w:t>
      </w:r>
      <w:r w:rsidRPr="004C4882">
        <w:rPr>
          <w:rFonts w:eastAsia="Times New Roman"/>
          <w:color w:val="000000"/>
          <w:sz w:val="18"/>
          <w:szCs w:val="18"/>
        </w:rPr>
        <w:tab/>
      </w:r>
      <w:r w:rsidRPr="00CD2B42">
        <w:rPr>
          <w:color w:val="000000"/>
          <w:sz w:val="18"/>
          <w:szCs w:val="18"/>
        </w:rPr>
        <w:t>Подробный обзор дел, зарегистрированных в 2024 году, и дел, перенесенных на 2025 год</w:t>
      </w:r>
    </w:p>
    <w:p w14:paraId="61030B58" w14:textId="77777777" w:rsidR="00055BFC" w:rsidRPr="00CD2B42" w:rsidRDefault="00055BFC" w:rsidP="00055BFC">
      <w:pPr>
        <w:spacing w:line="240" w:lineRule="auto"/>
        <w:ind w:left="720" w:hanging="360"/>
        <w:rPr>
          <w:rFonts w:eastAsia="Times New Roman"/>
          <w:color w:val="000000"/>
          <w:sz w:val="18"/>
          <w:szCs w:val="18"/>
        </w:rPr>
      </w:pPr>
      <w:r w:rsidRPr="004C4882">
        <w:rPr>
          <w:rFonts w:eastAsia="Times New Roman"/>
          <w:color w:val="000000"/>
          <w:sz w:val="18"/>
          <w:szCs w:val="18"/>
        </w:rPr>
        <w:t>6.</w:t>
      </w:r>
      <w:r w:rsidRPr="004C4882">
        <w:rPr>
          <w:rFonts w:eastAsia="Times New Roman"/>
          <w:color w:val="000000"/>
          <w:sz w:val="18"/>
          <w:szCs w:val="18"/>
        </w:rPr>
        <w:tab/>
      </w:r>
      <w:r w:rsidRPr="00CD2B42">
        <w:rPr>
          <w:color w:val="000000"/>
          <w:sz w:val="18"/>
          <w:szCs w:val="18"/>
        </w:rPr>
        <w:t>Аудиторские отчеты, опубликованные в 2024 году</w:t>
      </w:r>
    </w:p>
    <w:p w14:paraId="4CD7079C" w14:textId="77777777" w:rsidR="00055BFC" w:rsidRPr="00CD2B42" w:rsidRDefault="00055BFC" w:rsidP="00055BFC">
      <w:pPr>
        <w:spacing w:line="240" w:lineRule="auto"/>
        <w:ind w:left="720" w:hanging="360"/>
        <w:rPr>
          <w:rFonts w:eastAsia="Times New Roman"/>
          <w:color w:val="000000"/>
          <w:sz w:val="18"/>
          <w:szCs w:val="18"/>
        </w:rPr>
      </w:pPr>
      <w:r w:rsidRPr="004C4882">
        <w:rPr>
          <w:rFonts w:eastAsia="Times New Roman"/>
          <w:color w:val="000000"/>
          <w:sz w:val="18"/>
          <w:szCs w:val="18"/>
        </w:rPr>
        <w:t>7.</w:t>
      </w:r>
      <w:r w:rsidRPr="004C4882">
        <w:rPr>
          <w:rFonts w:eastAsia="Times New Roman"/>
          <w:color w:val="000000"/>
          <w:sz w:val="18"/>
          <w:szCs w:val="18"/>
        </w:rPr>
        <w:tab/>
      </w:r>
      <w:r w:rsidRPr="00CD2B42">
        <w:rPr>
          <w:color w:val="000000"/>
          <w:sz w:val="18"/>
          <w:szCs w:val="18"/>
        </w:rPr>
        <w:t>Ключевые показатели эффективности УАР</w:t>
      </w:r>
    </w:p>
    <w:p w14:paraId="704BC0F0" w14:textId="77777777" w:rsidR="00055BFC" w:rsidRPr="00CD2B42" w:rsidRDefault="00055BFC" w:rsidP="00055BFC">
      <w:pPr>
        <w:spacing w:line="240" w:lineRule="auto"/>
        <w:ind w:left="720" w:hanging="360"/>
        <w:rPr>
          <w:rFonts w:eastAsia="Times New Roman"/>
          <w:color w:val="000000"/>
          <w:sz w:val="18"/>
          <w:szCs w:val="18"/>
        </w:rPr>
      </w:pPr>
      <w:r w:rsidRPr="004C4882">
        <w:rPr>
          <w:rFonts w:eastAsia="Times New Roman"/>
          <w:color w:val="000000"/>
          <w:sz w:val="18"/>
          <w:szCs w:val="18"/>
        </w:rPr>
        <w:t>8.</w:t>
      </w:r>
      <w:r w:rsidRPr="004C4882">
        <w:rPr>
          <w:rFonts w:eastAsia="Times New Roman"/>
          <w:color w:val="000000"/>
          <w:sz w:val="18"/>
          <w:szCs w:val="18"/>
        </w:rPr>
        <w:tab/>
      </w:r>
      <w:r w:rsidRPr="00CD2B42">
        <w:rPr>
          <w:color w:val="000000"/>
          <w:sz w:val="18"/>
          <w:szCs w:val="18"/>
        </w:rPr>
        <w:t>Рекомендации, остающиеся невыполненными в течение 18 или более месяцев по состоянию на 31 декабря 2024 года.</w:t>
      </w:r>
    </w:p>
    <w:p w14:paraId="2535AC27" w14:textId="77777777" w:rsidR="00055BFC" w:rsidRPr="004C4882" w:rsidRDefault="00055BFC" w:rsidP="00055BFC">
      <w:pPr>
        <w:tabs>
          <w:tab w:val="left" w:pos="1080"/>
        </w:tabs>
        <w:spacing w:before="60" w:after="60" w:line="240" w:lineRule="auto"/>
        <w:rPr>
          <w:rFonts w:eastAsia="Times New Roman"/>
          <w:b/>
          <w:szCs w:val="20"/>
        </w:rPr>
      </w:pPr>
      <w:r w:rsidRPr="004C4882">
        <w:rPr>
          <w:b/>
          <w:szCs w:val="20"/>
        </w:rPr>
        <w:t>Приложения</w:t>
      </w:r>
    </w:p>
    <w:p w14:paraId="171A1C7A" w14:textId="77777777" w:rsidR="00055BFC" w:rsidRPr="004C4882" w:rsidRDefault="00055BFC" w:rsidP="00055BFC">
      <w:pPr>
        <w:pBdr>
          <w:top w:val="nil"/>
          <w:left w:val="nil"/>
          <w:bottom w:val="nil"/>
          <w:right w:val="nil"/>
          <w:between w:val="nil"/>
        </w:pBdr>
        <w:tabs>
          <w:tab w:val="left" w:pos="630"/>
        </w:tabs>
        <w:spacing w:line="240" w:lineRule="auto"/>
        <w:ind w:left="709" w:hanging="360"/>
        <w:rPr>
          <w:rFonts w:eastAsia="Times New Roman"/>
          <w:color w:val="000000"/>
          <w:sz w:val="18"/>
          <w:szCs w:val="18"/>
        </w:rPr>
      </w:pPr>
      <w:r w:rsidRPr="004C4882">
        <w:rPr>
          <w:rFonts w:eastAsia="Times New Roman"/>
          <w:color w:val="000000"/>
          <w:sz w:val="18"/>
          <w:szCs w:val="18"/>
        </w:rPr>
        <w:t>1.</w:t>
      </w:r>
      <w:r w:rsidRPr="004C4882">
        <w:rPr>
          <w:rFonts w:eastAsia="Times New Roman"/>
          <w:color w:val="000000"/>
          <w:sz w:val="18"/>
          <w:szCs w:val="18"/>
        </w:rPr>
        <w:tab/>
      </w:r>
      <w:r w:rsidRPr="004C4882">
        <w:rPr>
          <w:color w:val="000000"/>
          <w:sz w:val="18"/>
          <w:szCs w:val="18"/>
        </w:rPr>
        <w:t>Годовой отчет Консультативного комитета по надзору за 2024 год</w:t>
      </w:r>
    </w:p>
    <w:p w14:paraId="5FC332A9" w14:textId="77777777" w:rsidR="00055BFC" w:rsidRPr="004C4882" w:rsidRDefault="00055BFC" w:rsidP="00055BFC">
      <w:pPr>
        <w:pBdr>
          <w:top w:val="nil"/>
          <w:left w:val="nil"/>
          <w:bottom w:val="nil"/>
          <w:right w:val="nil"/>
          <w:between w:val="nil"/>
        </w:pBdr>
        <w:tabs>
          <w:tab w:val="left" w:pos="630"/>
        </w:tabs>
        <w:spacing w:line="240" w:lineRule="auto"/>
        <w:ind w:left="709" w:hanging="360"/>
        <w:rPr>
          <w:rFonts w:eastAsia="Times New Roman"/>
          <w:color w:val="000000"/>
          <w:sz w:val="18"/>
          <w:szCs w:val="18"/>
        </w:rPr>
      </w:pPr>
      <w:r w:rsidRPr="004C4882">
        <w:rPr>
          <w:rFonts w:eastAsia="Times New Roman"/>
          <w:color w:val="000000"/>
          <w:sz w:val="18"/>
          <w:szCs w:val="18"/>
        </w:rPr>
        <w:t>2.</w:t>
      </w:r>
      <w:r w:rsidRPr="004C4882">
        <w:rPr>
          <w:rFonts w:eastAsia="Times New Roman"/>
          <w:color w:val="000000"/>
          <w:sz w:val="18"/>
          <w:szCs w:val="18"/>
        </w:rPr>
        <w:tab/>
      </w:r>
      <w:r w:rsidRPr="004C4882">
        <w:rPr>
          <w:color w:val="000000"/>
          <w:sz w:val="18"/>
          <w:szCs w:val="18"/>
        </w:rPr>
        <w:t>Ответы руководства на годовой отчет УАР и годовой отчет Консультативного комитета по надзору</w:t>
      </w:r>
    </w:p>
    <w:p w14:paraId="5E7B5C07" w14:textId="67836A5A" w:rsidR="00055BFC" w:rsidRPr="00F7401C" w:rsidRDefault="00055BFC" w:rsidP="00055BFC">
      <w:pPr>
        <w:pBdr>
          <w:top w:val="nil"/>
          <w:left w:val="nil"/>
          <w:bottom w:val="nil"/>
          <w:right w:val="nil"/>
          <w:between w:val="nil"/>
        </w:pBdr>
        <w:tabs>
          <w:tab w:val="left" w:pos="630"/>
        </w:tabs>
        <w:spacing w:before="120" w:line="240" w:lineRule="auto"/>
        <w:ind w:left="360"/>
        <w:jc w:val="center"/>
        <w:rPr>
          <w:b/>
          <w:spacing w:val="-2"/>
          <w:kern w:val="14"/>
          <w:sz w:val="28"/>
          <w:szCs w:val="28"/>
        </w:rPr>
      </w:pPr>
      <w:r w:rsidRPr="004C4882">
        <w:rPr>
          <w:i/>
          <w:sz w:val="18"/>
          <w:szCs w:val="18"/>
        </w:rPr>
        <w:t xml:space="preserve">(Приложения и дополнения доступны на </w:t>
      </w:r>
      <w:hyperlink r:id="rId20" w:history="1">
        <w:r w:rsidRPr="004C4882">
          <w:rPr>
            <w:rStyle w:val="Hyperlink"/>
            <w:i/>
            <w:sz w:val="18"/>
            <w:szCs w:val="18"/>
          </w:rPr>
          <w:t>веб-сайте ЮНФПА</w:t>
        </w:r>
      </w:hyperlink>
      <w:r w:rsidRPr="004C4882">
        <w:rPr>
          <w:i/>
          <w:sz w:val="18"/>
          <w:szCs w:val="18"/>
        </w:rPr>
        <w:t>)</w:t>
      </w:r>
      <w:bookmarkEnd w:id="4"/>
      <w:r w:rsidRPr="004C4882">
        <w:rPr>
          <w:i/>
          <w:sz w:val="18"/>
          <w:szCs w:val="18"/>
        </w:rPr>
        <w:t>.</w:t>
      </w:r>
    </w:p>
    <w:p w14:paraId="3D866231" w14:textId="77777777" w:rsidR="00055BFC" w:rsidRPr="00487076" w:rsidRDefault="00055BFC" w:rsidP="00055BFC">
      <w:pPr>
        <w:pStyle w:val="HeadI"/>
        <w:numPr>
          <w:ilvl w:val="0"/>
          <w:numId w:val="0"/>
        </w:numPr>
        <w:ind w:left="720" w:hanging="294"/>
      </w:pPr>
      <w:bookmarkStart w:id="5" w:name="_Toc196833146"/>
      <w:r w:rsidRPr="00487076">
        <w:rPr>
          <w:sz w:val="24"/>
          <w:szCs w:val="24"/>
        </w:rPr>
        <w:t>I.</w:t>
      </w:r>
      <w:r w:rsidRPr="00487076">
        <w:rPr>
          <w:sz w:val="24"/>
          <w:szCs w:val="24"/>
        </w:rPr>
        <w:tab/>
      </w:r>
      <w:r>
        <w:t>Введение</w:t>
      </w:r>
      <w:bookmarkEnd w:id="5"/>
    </w:p>
    <w:p w14:paraId="6771CFFC" w14:textId="77777777" w:rsidR="00055BFC" w:rsidRPr="00487076" w:rsidRDefault="00055BFC" w:rsidP="00055BFC">
      <w:pPr>
        <w:pStyle w:val="Para1"/>
        <w:numPr>
          <w:ilvl w:val="0"/>
          <w:numId w:val="0"/>
        </w:numPr>
        <w:ind w:left="720" w:hanging="11"/>
      </w:pPr>
      <w:r w:rsidRPr="00487076">
        <w:t>1.</w:t>
      </w:r>
      <w:r w:rsidRPr="00487076">
        <w:tab/>
      </w:r>
      <w:r>
        <w:t>В настоящем докладе Исполнительному совету дается обзор мероприятий в области внутреннего аудита, консультаций и расследований, проведенных Управлением аудита и расследований (УАР) ЮНФПА в 2024 году. В нем также содержится подтверждение организационной независимости УАР и общий вывод об адекватности и эффективности процессов руководства и управления рисками и о нормативно-правовом соответствии (НПС) организации. Кроме того, отчет содержит: (</w:t>
      </w:r>
      <w:r>
        <w:rPr>
          <w:lang w:val="en-US"/>
        </w:rPr>
        <w:t>a</w:t>
      </w:r>
      <w:r>
        <w:t>) основные моменты других мероприятий УАР за 2024 год, (</w:t>
      </w:r>
      <w:r>
        <w:rPr>
          <w:lang w:val="en-US"/>
        </w:rPr>
        <w:t>b</w:t>
      </w:r>
      <w:r>
        <w:t>) обзор годовых планов работы УАР на 2025 год и (</w:t>
      </w:r>
      <w:r>
        <w:rPr>
          <w:lang w:val="en-US"/>
        </w:rPr>
        <w:t>c</w:t>
      </w:r>
      <w:r>
        <w:t>) краткий обзор запланированных мероприятий и инициатив на 2025 год и последующие годы.</w:t>
      </w:r>
    </w:p>
    <w:p w14:paraId="1444DCC1" w14:textId="77777777" w:rsidR="00055BFC" w:rsidRPr="00487076" w:rsidRDefault="00055BFC" w:rsidP="00055BFC">
      <w:pPr>
        <w:pStyle w:val="HeadI"/>
        <w:numPr>
          <w:ilvl w:val="0"/>
          <w:numId w:val="0"/>
        </w:numPr>
        <w:ind w:left="720" w:hanging="294"/>
      </w:pPr>
      <w:bookmarkStart w:id="6" w:name="_Toc196833147"/>
      <w:r w:rsidRPr="00487076">
        <w:rPr>
          <w:sz w:val="24"/>
          <w:szCs w:val="24"/>
        </w:rPr>
        <w:t>II.</w:t>
      </w:r>
      <w:r w:rsidRPr="00487076">
        <w:rPr>
          <w:sz w:val="24"/>
          <w:szCs w:val="24"/>
        </w:rPr>
        <w:tab/>
      </w:r>
      <w:r>
        <w:t>Задачи</w:t>
      </w:r>
      <w:bookmarkEnd w:id="6"/>
    </w:p>
    <w:p w14:paraId="30D5824D" w14:textId="10D49C50" w:rsidR="00055BFC" w:rsidRPr="00487076" w:rsidRDefault="00055BFC" w:rsidP="00055BFC">
      <w:pPr>
        <w:pStyle w:val="Para1"/>
        <w:numPr>
          <w:ilvl w:val="0"/>
          <w:numId w:val="0"/>
        </w:numPr>
        <w:ind w:left="720" w:hanging="11"/>
      </w:pPr>
      <w:r w:rsidRPr="00487076">
        <w:t>2.</w:t>
      </w:r>
      <w:r w:rsidRPr="00487076">
        <w:tab/>
      </w:r>
      <w:r>
        <w:t>Задачи УАР основаны на статье XVII Финансовых положений и правил ЮНФПА, Политике надзора ЮНФПА</w:t>
      </w:r>
      <w:r w:rsidRPr="00487076">
        <w:rPr>
          <w:vertAlign w:val="superscript"/>
        </w:rPr>
        <w:footnoteReference w:id="1"/>
      </w:r>
      <w:r>
        <w:t xml:space="preserve"> и Принципах подотчетности ЮНФПА</w:t>
      </w:r>
      <w:r w:rsidRPr="00487076">
        <w:rPr>
          <w:vertAlign w:val="superscript"/>
        </w:rPr>
        <w:footnoteReference w:id="2"/>
      </w:r>
      <w:r w:rsidRPr="00C56824">
        <w:t>.</w:t>
      </w:r>
      <w:r>
        <w:t xml:space="preserve"> Они предусматривают, что УАР единолично исполняет следующие функции, руководит их исполнением или уполномочивает другие структуры их исполнять: (a)</w:t>
      </w:r>
      <w:r>
        <w:rPr>
          <w:lang w:val="en-US"/>
        </w:rPr>
        <w:t> </w:t>
      </w:r>
      <w:r>
        <w:t>услуги независимого внутреннего аудита (адекватность и эффективность процессов внутреннего управления, управления рисками и внутреннего контроля и экономичное и эффективное использование ресурсов), и (b) услуги по проведению расследований (обвинения в совершении неправомерных действий). УАР также может оказывать консультативные услуги руководству ЮНФПА в той степени, в которой это не несет угрозы его независимости и объективности.</w:t>
      </w:r>
    </w:p>
    <w:p w14:paraId="09F48191" w14:textId="77777777" w:rsidR="00055BFC" w:rsidRPr="00487076" w:rsidRDefault="00055BFC" w:rsidP="00055BFC">
      <w:pPr>
        <w:pStyle w:val="Para1"/>
        <w:numPr>
          <w:ilvl w:val="0"/>
          <w:numId w:val="0"/>
        </w:numPr>
        <w:ind w:left="720" w:hanging="11"/>
      </w:pPr>
      <w:r w:rsidRPr="00487076">
        <w:t>3.</w:t>
      </w:r>
      <w:r w:rsidRPr="00487076">
        <w:tab/>
      </w:r>
      <w:r>
        <w:t>Директор-исполнитель ЮНФПА утвердил пересмотренный устав УАР 1 августа 2023 года. После недавнего принятия новых Глобальных стандартов внутреннего аудита (вступающих в силу 9 января 2025 года) Институтом внутренних аудиторов (IIA), УАР проведет обзор существующего устава с целью его обновления с учетом изменений, внесенных новыми стандартами. Действующий устав приведен в приложении 1.</w:t>
      </w:r>
    </w:p>
    <w:p w14:paraId="041B56FF" w14:textId="77777777" w:rsidR="00055BFC" w:rsidRPr="00487076" w:rsidRDefault="00055BFC" w:rsidP="00055BFC">
      <w:pPr>
        <w:pStyle w:val="HeadI"/>
        <w:numPr>
          <w:ilvl w:val="0"/>
          <w:numId w:val="0"/>
        </w:numPr>
        <w:ind w:left="720" w:hanging="294"/>
      </w:pPr>
      <w:bookmarkStart w:id="7" w:name="_Toc196833148"/>
      <w:r w:rsidRPr="00487076">
        <w:rPr>
          <w:sz w:val="24"/>
          <w:szCs w:val="24"/>
        </w:rPr>
        <w:t>III.</w:t>
      </w:r>
      <w:r w:rsidRPr="00487076">
        <w:rPr>
          <w:sz w:val="24"/>
          <w:szCs w:val="24"/>
        </w:rPr>
        <w:tab/>
      </w:r>
      <w:r>
        <w:t>Заключение</w:t>
      </w:r>
      <w:bookmarkEnd w:id="7"/>
    </w:p>
    <w:p w14:paraId="27E51468" w14:textId="77777777" w:rsidR="00055BFC" w:rsidRPr="00487076" w:rsidRDefault="00055BFC" w:rsidP="00055BFC">
      <w:pPr>
        <w:pStyle w:val="HeadA"/>
        <w:numPr>
          <w:ilvl w:val="0"/>
          <w:numId w:val="0"/>
        </w:numPr>
        <w:ind w:left="734" w:hanging="590"/>
      </w:pPr>
      <w:bookmarkStart w:id="8" w:name="_Toc196833149"/>
      <w:r w:rsidRPr="00487076">
        <w:t>A.</w:t>
      </w:r>
      <w:r w:rsidRPr="00487076">
        <w:tab/>
      </w:r>
      <w:r>
        <w:t>Обязанности руководства ЮНФПА и УАР</w:t>
      </w:r>
      <w:bookmarkEnd w:id="8"/>
    </w:p>
    <w:p w14:paraId="1A4CB439" w14:textId="77777777" w:rsidR="00055BFC" w:rsidRPr="00487076" w:rsidRDefault="00055BFC" w:rsidP="00055BFC">
      <w:pPr>
        <w:pStyle w:val="Para1"/>
        <w:numPr>
          <w:ilvl w:val="0"/>
          <w:numId w:val="0"/>
        </w:numPr>
        <w:ind w:left="720" w:hanging="11"/>
      </w:pPr>
      <w:r w:rsidRPr="00487076">
        <w:t>4.</w:t>
      </w:r>
      <w:r w:rsidRPr="00487076">
        <w:tab/>
      </w:r>
      <w:r>
        <w:t>Руководство ЮНФПА отвечает за надлежащую разработку, эффективное осуществление и ведение процессов руководства, управления рисками и внутреннего контроля и обеспечивает выполнение целей организации. УАР несет ответственность за независимую оценку адекватности и эффективности этих процессов на основе объема проделанной работы, а также, при надлежащей проверке операционной эффективности, полагаясь на средства контроля второй линии, установленные руководством ЮНФПА и определенные третьими сторонами, которым ЮНФПА передает некоторые бизнес-процессы.</w:t>
      </w:r>
    </w:p>
    <w:p w14:paraId="0BAAAB67" w14:textId="77777777" w:rsidR="00055BFC" w:rsidRPr="00487076" w:rsidRDefault="00055BFC" w:rsidP="00055BFC">
      <w:pPr>
        <w:pStyle w:val="HeadA"/>
        <w:numPr>
          <w:ilvl w:val="0"/>
          <w:numId w:val="0"/>
        </w:numPr>
        <w:ind w:left="734" w:hanging="590"/>
        <w:rPr>
          <w:rFonts w:eastAsia="Times New Roman"/>
          <w:color w:val="000000"/>
          <w:sz w:val="20"/>
        </w:rPr>
      </w:pPr>
      <w:bookmarkStart w:id="9" w:name="_Toc196833150"/>
      <w:r w:rsidRPr="00487076">
        <w:rPr>
          <w:rFonts w:eastAsia="Times New Roman"/>
          <w:color w:val="000000"/>
        </w:rPr>
        <w:t>B.</w:t>
      </w:r>
      <w:r w:rsidRPr="00487076">
        <w:rPr>
          <w:rFonts w:eastAsia="Times New Roman"/>
          <w:color w:val="000000"/>
        </w:rPr>
        <w:tab/>
      </w:r>
      <w:r>
        <w:t>Основание для заключения внутреннего аудита</w:t>
      </w:r>
      <w:bookmarkEnd w:id="9"/>
    </w:p>
    <w:p w14:paraId="2D7E46D7" w14:textId="77777777" w:rsidR="00055BFC" w:rsidRPr="00487076" w:rsidRDefault="00055BFC" w:rsidP="00055BFC">
      <w:pPr>
        <w:pStyle w:val="Para1"/>
        <w:numPr>
          <w:ilvl w:val="0"/>
          <w:numId w:val="0"/>
        </w:numPr>
        <w:ind w:left="720" w:hanging="11"/>
      </w:pPr>
      <w:r w:rsidRPr="00487076">
        <w:t>5.</w:t>
      </w:r>
      <w:r w:rsidRPr="00487076">
        <w:tab/>
      </w:r>
      <w:r>
        <w:t xml:space="preserve">Заключение основано на следующем (более подробную информацию см. в приложении 2). </w:t>
      </w:r>
    </w:p>
    <w:p w14:paraId="60707753" w14:textId="77777777" w:rsidR="00055BFC" w:rsidRPr="00487076" w:rsidRDefault="00055BFC" w:rsidP="00055BFC">
      <w:pPr>
        <w:pStyle w:val="Paraa"/>
        <w:numPr>
          <w:ilvl w:val="0"/>
          <w:numId w:val="0"/>
        </w:numPr>
        <w:ind w:left="720" w:hanging="14"/>
      </w:pPr>
      <w:r w:rsidRPr="00487076">
        <w:t>(a)</w:t>
      </w:r>
      <w:r w:rsidRPr="00487076">
        <w:tab/>
      </w:r>
      <w:r>
        <w:t>Результаты аудиторских проверок УАР, проведенных в период с 1 января по 31 декабря 2024 года, а также совокупные знания и опыт аудита, полученные в результате аудиторских проверок УАР, завершенных в предыдущие годы, если это будет сочтено уместным;</w:t>
      </w:r>
    </w:p>
    <w:p w14:paraId="559EA775" w14:textId="77777777" w:rsidR="00055BFC" w:rsidRPr="00487076" w:rsidRDefault="00055BFC" w:rsidP="00055BFC">
      <w:pPr>
        <w:pStyle w:val="Paraa"/>
        <w:numPr>
          <w:ilvl w:val="0"/>
          <w:numId w:val="0"/>
        </w:numPr>
        <w:ind w:left="720" w:hanging="14"/>
      </w:pPr>
      <w:r w:rsidRPr="00487076">
        <w:t>(b)</w:t>
      </w:r>
      <w:r w:rsidRPr="00487076">
        <w:tab/>
      </w:r>
      <w:r>
        <w:t>Статус выполнения рекомендаций по итогам внутреннего аудита.</w:t>
      </w:r>
    </w:p>
    <w:p w14:paraId="428B1A75" w14:textId="77777777" w:rsidR="00055BFC" w:rsidRPr="00487076" w:rsidRDefault="00055BFC" w:rsidP="00055BFC">
      <w:pPr>
        <w:pStyle w:val="Paraa"/>
        <w:numPr>
          <w:ilvl w:val="0"/>
          <w:numId w:val="0"/>
        </w:numPr>
        <w:ind w:left="720" w:hanging="14"/>
      </w:pPr>
      <w:r w:rsidRPr="00487076">
        <w:t>(c)</w:t>
      </w:r>
      <w:r w:rsidRPr="00487076">
        <w:tab/>
      </w:r>
      <w:r>
        <w:t>Средства контроля второй линии на основе отчетов, полученных от руководства.</w:t>
      </w:r>
    </w:p>
    <w:p w14:paraId="6D82C402" w14:textId="77777777" w:rsidR="00055BFC" w:rsidRPr="00487076" w:rsidRDefault="00055BFC" w:rsidP="00055BFC">
      <w:pPr>
        <w:pStyle w:val="Paraa"/>
        <w:numPr>
          <w:ilvl w:val="0"/>
          <w:numId w:val="0"/>
        </w:numPr>
        <w:ind w:left="720" w:hanging="14"/>
      </w:pPr>
      <w:r w:rsidRPr="00487076">
        <w:t>(d)</w:t>
      </w:r>
      <w:r w:rsidRPr="00487076">
        <w:tab/>
      </w:r>
      <w:r>
        <w:t>Анализ существенных недостатков в общей системе руководства ЮНФПА, управления рисками и контроля организации, которые по отдельности или в совокупности могут препятствовать достижению целей организации, представленных:</w:t>
      </w:r>
    </w:p>
    <w:p w14:paraId="4CA661D5" w14:textId="77777777" w:rsidR="00055BFC" w:rsidRPr="00487076" w:rsidRDefault="00055BFC" w:rsidP="00055BFC">
      <w:pPr>
        <w:pStyle w:val="Parai"/>
      </w:pPr>
      <w:r w:rsidRPr="00487076">
        <w:rPr>
          <w:i/>
          <w:iCs/>
        </w:rPr>
        <w:t>(i)</w:t>
      </w:r>
      <w:r w:rsidRPr="00487076">
        <w:rPr>
          <w:i/>
          <w:iCs/>
        </w:rPr>
        <w:tab/>
      </w:r>
      <w:r>
        <w:t>в Аудиторских проверках партнеров-исполнителей в рамках гармонизированного подхода к денежным переводам (HACT);</w:t>
      </w:r>
    </w:p>
    <w:p w14:paraId="260411CE" w14:textId="77777777" w:rsidR="00055BFC" w:rsidRPr="00487076" w:rsidRDefault="00055BFC" w:rsidP="00055BFC">
      <w:pPr>
        <w:pStyle w:val="Parai"/>
      </w:pPr>
      <w:r w:rsidRPr="00487076">
        <w:rPr>
          <w:i/>
          <w:iCs/>
        </w:rPr>
        <w:t>(</w:t>
      </w:r>
      <w:proofErr w:type="spellStart"/>
      <w:r w:rsidRPr="00487076">
        <w:rPr>
          <w:i/>
          <w:iCs/>
        </w:rPr>
        <w:t>ii</w:t>
      </w:r>
      <w:proofErr w:type="spellEnd"/>
      <w:r w:rsidRPr="00487076">
        <w:rPr>
          <w:i/>
          <w:iCs/>
        </w:rPr>
        <w:t>)</w:t>
      </w:r>
      <w:r w:rsidRPr="00487076">
        <w:rPr>
          <w:i/>
          <w:iCs/>
        </w:rPr>
        <w:tab/>
      </w:r>
      <w:r>
        <w:t>В выводах и рекомендациях, сообщенных Комиссией ревизоров Организации Объединенных Наций в наблюдательных меморандумах по итогам аудита финансовых ведомостей ЮНФПА за год, завершившийся 31 декабря 2024 года;</w:t>
      </w:r>
    </w:p>
    <w:p w14:paraId="052BD51F" w14:textId="77777777" w:rsidR="00055BFC" w:rsidRPr="00487076" w:rsidRDefault="00055BFC" w:rsidP="00055BFC">
      <w:pPr>
        <w:pStyle w:val="Parai"/>
        <w:tabs>
          <w:tab w:val="clear" w:pos="1260"/>
          <w:tab w:val="left" w:pos="1701"/>
        </w:tabs>
        <w:ind w:left="1276" w:firstLine="283"/>
      </w:pPr>
      <w:r w:rsidRPr="00487076">
        <w:rPr>
          <w:i/>
          <w:iCs/>
        </w:rPr>
        <w:t>(</w:t>
      </w:r>
      <w:proofErr w:type="spellStart"/>
      <w:r w:rsidRPr="00487076">
        <w:rPr>
          <w:i/>
          <w:iCs/>
        </w:rPr>
        <w:t>iii</w:t>
      </w:r>
      <w:proofErr w:type="spellEnd"/>
      <w:r w:rsidRPr="00487076">
        <w:rPr>
          <w:i/>
          <w:iCs/>
        </w:rPr>
        <w:t>)</w:t>
      </w:r>
      <w:r w:rsidRPr="00487076">
        <w:rPr>
          <w:i/>
          <w:iCs/>
        </w:rPr>
        <w:tab/>
      </w:r>
      <w:r>
        <w:t>В делах по расследованиям с подтвержденными обвинениями в 2024 году, связанных с обвинениями, влияющими на финансовые ресурсы ЮНФПА, персонал и благополучие бенефициаров, а также общие репутационные риски; и</w:t>
      </w:r>
    </w:p>
    <w:p w14:paraId="7D9BAC19" w14:textId="77777777" w:rsidR="00055BFC" w:rsidRPr="00487076" w:rsidRDefault="00055BFC" w:rsidP="00055BFC">
      <w:pPr>
        <w:pStyle w:val="Parai"/>
        <w:tabs>
          <w:tab w:val="clear" w:pos="1260"/>
          <w:tab w:val="left" w:pos="1701"/>
        </w:tabs>
        <w:ind w:left="1276" w:firstLine="283"/>
      </w:pPr>
      <w:r w:rsidRPr="00487076">
        <w:rPr>
          <w:i/>
          <w:iCs/>
        </w:rPr>
        <w:t>(</w:t>
      </w:r>
      <w:proofErr w:type="spellStart"/>
      <w:r w:rsidRPr="00487076">
        <w:rPr>
          <w:i/>
          <w:iCs/>
        </w:rPr>
        <w:t>iv</w:t>
      </w:r>
      <w:proofErr w:type="spellEnd"/>
      <w:r w:rsidRPr="00487076">
        <w:rPr>
          <w:i/>
          <w:iCs/>
        </w:rPr>
        <w:t>)</w:t>
      </w:r>
      <w:r w:rsidRPr="00487076">
        <w:rPr>
          <w:i/>
          <w:iCs/>
        </w:rPr>
        <w:tab/>
      </w:r>
      <w:r>
        <w:t>В результатах стратегических оценок и оценок риска мошенничества, выполненных в рамках процесса общеорганизационного управления рисками (ОУР), внедренного руководством, в том объеме, в котором эта информация была доступна при подготовке данного заключения.</w:t>
      </w:r>
    </w:p>
    <w:p w14:paraId="582630DE" w14:textId="77777777" w:rsidR="00055BFC" w:rsidRPr="00487076" w:rsidRDefault="00055BFC" w:rsidP="00055BFC">
      <w:pPr>
        <w:pStyle w:val="HeadA"/>
        <w:numPr>
          <w:ilvl w:val="0"/>
          <w:numId w:val="0"/>
        </w:numPr>
        <w:ind w:left="734" w:hanging="590"/>
      </w:pPr>
      <w:bookmarkStart w:id="10" w:name="_Toc196833151"/>
      <w:r w:rsidRPr="00487076">
        <w:t>C.</w:t>
      </w:r>
      <w:r w:rsidRPr="00487076">
        <w:tab/>
      </w:r>
      <w:r>
        <w:t>Исключения из заключения внутреннего аудита</w:t>
      </w:r>
      <w:bookmarkEnd w:id="10"/>
    </w:p>
    <w:p w14:paraId="4C2DA32B" w14:textId="77777777" w:rsidR="00055BFC" w:rsidRPr="00487076" w:rsidRDefault="00055BFC" w:rsidP="00055BFC">
      <w:pPr>
        <w:pStyle w:val="Para1"/>
        <w:numPr>
          <w:ilvl w:val="0"/>
          <w:numId w:val="0"/>
        </w:numPr>
        <w:ind w:left="720" w:hanging="11"/>
      </w:pPr>
      <w:r w:rsidRPr="00487076">
        <w:t>6.</w:t>
      </w:r>
      <w:r w:rsidRPr="00487076">
        <w:tab/>
      </w:r>
      <w:r>
        <w:t>Как и в предыдущие годы, в 2024 году ЮНФПА делегировал другим организациям системы Организации Объединенных Наций важные функции, в том числе следующие: (a) ряд задач по управлению кадрами; (b) расчет и выплата заработной платы сотрудникам и лицам, с которыми заключены контракты о предоставлении услуг; (c) проведение платежей; (d) управление казначейской деятельностью; (e) размещение системы планирования ресурсов предприятия и управление ею и (f) прочие информационные технологии. При оценке соответствия и эффективности соответствующих процессов внутреннего управления, управления рисками и внутреннего контроля руководство ЮНФПА полагалось на мероприятия в области управления и попечительского надзора, проводимые организациями системы Организации Объединенных Наций, которым передавались перечисленные выше функции. На эти переданные функции распространяются положения о внутреннем аудите, предусмотренные политикой и процедурами соответствующих организаций системы Организации Объединенных Наций, и не распространяется заключение УАР об аудите. УАР получило подтверждение от Управления аудита и расследований ПРООН, что в последние годы, начиная с 2017 и заканчивая 2024 годом, в отношении большинства из этих функций, переданных на аутсорс, были проведены аудиторские проверки. ПРООН является основным поставщиком переданных на аутсорс услуг для ЮНФПА.</w:t>
      </w:r>
    </w:p>
    <w:p w14:paraId="0DD97F64" w14:textId="77777777" w:rsidR="00055BFC" w:rsidRPr="00487076" w:rsidRDefault="00055BFC" w:rsidP="00055BFC">
      <w:pPr>
        <w:pStyle w:val="Para1"/>
        <w:numPr>
          <w:ilvl w:val="0"/>
          <w:numId w:val="0"/>
        </w:numPr>
        <w:ind w:left="720" w:hanging="11"/>
      </w:pPr>
      <w:r w:rsidRPr="00487076">
        <w:t>7.</w:t>
      </w:r>
      <w:r w:rsidRPr="00487076">
        <w:tab/>
      </w:r>
      <w:r>
        <w:t>Кроме того, ЮНФПА передал многочисленные функции в области информационных и коммуникационных технологий, включая размещение важных систем (например, электронная почта, облачное хранение данных, размещение веб-сайта), сторонним поставщикам услуг. На них распространяются положения о внутреннем аудите, предусмотренные политикой и процедурами соответствующих сторонних организаций, и не распространяется заключение УАР.</w:t>
      </w:r>
    </w:p>
    <w:p w14:paraId="6BF8DFD7" w14:textId="77777777" w:rsidR="00055BFC" w:rsidRPr="00487076" w:rsidRDefault="00055BFC" w:rsidP="00055BFC">
      <w:pPr>
        <w:pStyle w:val="HeadA"/>
        <w:numPr>
          <w:ilvl w:val="0"/>
          <w:numId w:val="0"/>
        </w:numPr>
        <w:ind w:left="734" w:hanging="590"/>
      </w:pPr>
      <w:bookmarkStart w:id="11" w:name="_Toc196833152"/>
      <w:r w:rsidRPr="00487076">
        <w:t>D.</w:t>
      </w:r>
      <w:r w:rsidRPr="00487076">
        <w:tab/>
      </w:r>
      <w:r>
        <w:t>Общее заключение по внутреннему аудиту</w:t>
      </w:r>
      <w:bookmarkEnd w:id="11"/>
    </w:p>
    <w:p w14:paraId="45B02401" w14:textId="77777777" w:rsidR="00055BFC" w:rsidRPr="00487076" w:rsidRDefault="00055BFC" w:rsidP="00055BFC">
      <w:pPr>
        <w:pStyle w:val="Para1"/>
        <w:numPr>
          <w:ilvl w:val="0"/>
          <w:numId w:val="0"/>
        </w:numPr>
        <w:ind w:left="720" w:hanging="11"/>
      </w:pPr>
      <w:r w:rsidRPr="00487076">
        <w:t>8.</w:t>
      </w:r>
      <w:r w:rsidRPr="00487076">
        <w:tab/>
      </w:r>
      <w:r>
        <w:t>Исходя из объема проделанной работы, общее мнение УАР заключается в том, что адекватность и эффективность процессов руководства, управления рисками и контроля ЮНФПА были оценены как «частично удовлетворительно и требует некоторых улучшений», что означает, что оцененные процессы были адекватно разработаны и эффективно функционировали, но нуждались в некоторых улучшениях для обеспечения разумной уверенности в том, что цели проверяемой организации/сферы будут достигнуты. Установленные проблемы и возможности совершенствования работы не оказали существенного влияния на достижение целей проверяемой сферы деятельности. Рекомендованы действия со стороны руководства, позволяющие обеспечить надлежащее противодействие выявленным рискам</w:t>
      </w:r>
      <w:r w:rsidRPr="00487076">
        <w:rPr>
          <w:vertAlign w:val="superscript"/>
        </w:rPr>
        <w:footnoteReference w:id="3"/>
      </w:r>
      <w:r w:rsidRPr="00C56824">
        <w:t>.</w:t>
      </w:r>
    </w:p>
    <w:p w14:paraId="11621F98" w14:textId="77777777" w:rsidR="00055BFC" w:rsidRPr="00487076" w:rsidRDefault="00055BFC" w:rsidP="00055BFC">
      <w:pPr>
        <w:pStyle w:val="HeadI"/>
        <w:numPr>
          <w:ilvl w:val="0"/>
          <w:numId w:val="0"/>
        </w:numPr>
        <w:ind w:left="720" w:hanging="294"/>
      </w:pPr>
      <w:bookmarkStart w:id="12" w:name="_Toc196833153"/>
      <w:r w:rsidRPr="00487076">
        <w:rPr>
          <w:sz w:val="24"/>
          <w:szCs w:val="24"/>
        </w:rPr>
        <w:t>IV.</w:t>
      </w:r>
      <w:r w:rsidRPr="00487076">
        <w:rPr>
          <w:sz w:val="24"/>
          <w:szCs w:val="24"/>
        </w:rPr>
        <w:tab/>
      </w:r>
      <w:r>
        <w:t>Заявление о независимости УАР и соответствии стандартам внутреннего аудита и принципам проведения расследований</w:t>
      </w:r>
      <w:bookmarkEnd w:id="12"/>
    </w:p>
    <w:p w14:paraId="7C62CCE7" w14:textId="77777777" w:rsidR="00055BFC" w:rsidRPr="00487076" w:rsidRDefault="00055BFC" w:rsidP="00055BFC">
      <w:pPr>
        <w:pStyle w:val="Para1"/>
        <w:numPr>
          <w:ilvl w:val="0"/>
          <w:numId w:val="0"/>
        </w:numPr>
        <w:ind w:left="720" w:right="43" w:hanging="14"/>
      </w:pPr>
      <w:r w:rsidRPr="00487076">
        <w:t>9.</w:t>
      </w:r>
      <w:r w:rsidRPr="00487076">
        <w:tab/>
      </w:r>
      <w:r>
        <w:t>Директор УАР настоящим подтверждает Исполнительному совету, что в 2024 году УАР сохраняло организационную независимость. С учетом выделенных руководством ресурсов и полномочий, делегированных Директору, УАР было свободно от внешнего воздействия при определении сферы аудита, а также при выполнении и передаче результатов своей работы.</w:t>
      </w:r>
    </w:p>
    <w:p w14:paraId="755BAD14" w14:textId="2FBE4705" w:rsidR="00055BFC" w:rsidRPr="00487076" w:rsidRDefault="00055BFC" w:rsidP="00055BFC">
      <w:pPr>
        <w:pStyle w:val="Para1"/>
        <w:numPr>
          <w:ilvl w:val="0"/>
          <w:numId w:val="0"/>
        </w:numPr>
        <w:ind w:left="720" w:hanging="11"/>
      </w:pPr>
      <w:r w:rsidRPr="00487076">
        <w:t>10.</w:t>
      </w:r>
      <w:r w:rsidRPr="00487076">
        <w:tab/>
      </w:r>
      <w:r>
        <w:t>В 2024 году УАР проводило свою работу по внутреннему аудиту в соответствии с Международными профессиональными стандартами внутреннего аудита (далее</w:t>
      </w:r>
      <w:r>
        <w:rPr>
          <w:lang w:val="en-US"/>
        </w:rPr>
        <w:t> </w:t>
      </w:r>
      <w:r>
        <w:t>— «Стандарты») и Кодексом этики Института внутренних аудиторов, которые были приняты для использования представителями служб внутреннего аудита организаций системы Организации Объединенных Наций (UN-RIAS) в июне 2002 года. С января 2025 года УАР проводит внутренние аудиты в соответствии с новыми Глобальными стандартами внутреннего аудита.</w:t>
      </w:r>
    </w:p>
    <w:p w14:paraId="590BDF83" w14:textId="77777777" w:rsidR="00055BFC" w:rsidRPr="00487076" w:rsidRDefault="00055BFC" w:rsidP="00055BFC">
      <w:pPr>
        <w:pStyle w:val="Para1"/>
        <w:numPr>
          <w:ilvl w:val="0"/>
          <w:numId w:val="0"/>
        </w:numPr>
        <w:ind w:left="720" w:hanging="11"/>
      </w:pPr>
      <w:r w:rsidRPr="00487076">
        <w:t>11.</w:t>
      </w:r>
      <w:r w:rsidRPr="00487076">
        <w:tab/>
      </w:r>
      <w:r>
        <w:t xml:space="preserve">УАР проводит расследования в соответствии с Положениями и правилами о персонале Организации Объединенных Наций, уставом УАР, дисциплинарными рамками ЮНФПА, Политикой ЮНФПА в области надзора и единым руководством по проведению расследований, одобренными на 10-й Конференции международных экспертов по расследованиям (Conference of International </w:t>
      </w:r>
      <w:proofErr w:type="spellStart"/>
      <w:r>
        <w:t>Investigators</w:t>
      </w:r>
      <w:proofErr w:type="spellEnd"/>
      <w:r>
        <w:t>), состоявшейся в июне 2009 года. УАР также руководствуется правовой практикой Трибунала по спорам и апелляциям Организации Объединенных Наций и передовым опытом проведения расследований, принятым аналогичными органами, проводящими расследования.</w:t>
      </w:r>
    </w:p>
    <w:p w14:paraId="378A792F" w14:textId="77777777" w:rsidR="00055BFC" w:rsidRPr="00487076" w:rsidRDefault="00055BFC" w:rsidP="00055BFC">
      <w:pPr>
        <w:pStyle w:val="Para1"/>
        <w:numPr>
          <w:ilvl w:val="0"/>
          <w:numId w:val="0"/>
        </w:numPr>
        <w:ind w:left="720" w:hanging="11"/>
      </w:pPr>
      <w:r w:rsidRPr="00487076">
        <w:t>12.</w:t>
      </w:r>
      <w:r w:rsidRPr="00487076">
        <w:tab/>
      </w:r>
      <w:r>
        <w:t>Устав УАР и старые Стандарты</w:t>
      </w:r>
      <w:r w:rsidRPr="00487076">
        <w:rPr>
          <w:vertAlign w:val="superscript"/>
        </w:rPr>
        <w:footnoteReference w:id="4"/>
      </w:r>
      <w:r>
        <w:t>, а также новые Глобальные стандарты внутреннего аудита предписывают директору УАР реализовывать программу обеспечения и повышения качества, которая включает в себя постоянные и периодические оценки всего спектра работ по внутреннему аудиту и консалтингу, выполняемых службой внутреннего аудита. Специальное подразделение по обеспечению качества, политике и отчетности в Канцелярии директора УАР следит за соблюдением соответствующих требований и управляет программой для обеспечения того, чтобы УАР предоставляло высококачественные услуги и разрабатывало свои программы и процедуры аудита, включая подготовку отчетов, в соответствии со стандартами, принятыми Институтом внутренних аудиторов.</w:t>
      </w:r>
    </w:p>
    <w:p w14:paraId="5657DCAF" w14:textId="77777777" w:rsidR="00055BFC" w:rsidRPr="00487076" w:rsidRDefault="00055BFC" w:rsidP="00055BFC">
      <w:pPr>
        <w:pStyle w:val="Para1"/>
        <w:numPr>
          <w:ilvl w:val="0"/>
          <w:numId w:val="0"/>
        </w:numPr>
        <w:ind w:left="720" w:hanging="11"/>
      </w:pPr>
      <w:r w:rsidRPr="00487076">
        <w:t>13.</w:t>
      </w:r>
      <w:r w:rsidRPr="00487076">
        <w:tab/>
      </w:r>
      <w:r>
        <w:t>Поддержка и ускоренное проведение качественных расследований в отделе расследований обеспечивается за счет сотрудников ЮНФПА, занимающихся расследованиями, и найма консультантов по обеспечению качества, которым поручено проверять доказательную базу выводов, обоснованность методологии и тщательность расследований, соблюдение надлежащих процессуальных норм и соответствие международной практике и стандартам проведения расследований.</w:t>
      </w:r>
    </w:p>
    <w:p w14:paraId="03BA12E6" w14:textId="77777777" w:rsidR="00055BFC" w:rsidRPr="00487076" w:rsidRDefault="00055BFC" w:rsidP="00055BFC">
      <w:pPr>
        <w:pStyle w:val="HeadI"/>
        <w:numPr>
          <w:ilvl w:val="0"/>
          <w:numId w:val="0"/>
        </w:numPr>
        <w:ind w:left="720" w:hanging="294"/>
      </w:pPr>
      <w:bookmarkStart w:id="13" w:name="_Toc131023715"/>
      <w:bookmarkStart w:id="14" w:name="_Toc196833154"/>
      <w:bookmarkEnd w:id="13"/>
      <w:r w:rsidRPr="00487076">
        <w:rPr>
          <w:sz w:val="24"/>
          <w:szCs w:val="24"/>
        </w:rPr>
        <w:t>V.</w:t>
      </w:r>
      <w:r w:rsidRPr="00487076">
        <w:rPr>
          <w:sz w:val="24"/>
          <w:szCs w:val="24"/>
        </w:rPr>
        <w:tab/>
      </w:r>
      <w:r>
        <w:t>Штатное расписание и бюджет УАР</w:t>
      </w:r>
      <w:bookmarkEnd w:id="14"/>
    </w:p>
    <w:p w14:paraId="1473B58F" w14:textId="77777777" w:rsidR="00055BFC" w:rsidRPr="00487076" w:rsidRDefault="00055BFC" w:rsidP="00055BFC">
      <w:pPr>
        <w:pStyle w:val="Para1"/>
        <w:numPr>
          <w:ilvl w:val="0"/>
          <w:numId w:val="0"/>
        </w:numPr>
        <w:ind w:left="720" w:hanging="11"/>
      </w:pPr>
      <w:r w:rsidRPr="00487076">
        <w:t>14.</w:t>
      </w:r>
      <w:r w:rsidRPr="00487076">
        <w:tab/>
      </w:r>
      <w:r>
        <w:t>По состоянию на 31 декабря 2024 года в УАР утверждено 30 должностей: четыре в канцелярии директора УАР (директорат УАР); 13 в отделе внутреннего аудита; и 13 в отделе расследований. Из 30 должностей четыре были вакантны</w:t>
      </w:r>
      <w:r w:rsidRPr="00487076">
        <w:rPr>
          <w:vertAlign w:val="superscript"/>
        </w:rPr>
        <w:footnoteReference w:id="5"/>
      </w:r>
      <w:r w:rsidRPr="00C56824">
        <w:t xml:space="preserve">. </w:t>
      </w:r>
      <w:r>
        <w:t xml:space="preserve">Среди этих четырех вакансий три были в отделе расследований и одна в директорате УАР. </w:t>
      </w:r>
    </w:p>
    <w:p w14:paraId="3608E4AC" w14:textId="77777777" w:rsidR="00055BFC" w:rsidRPr="00487076" w:rsidRDefault="00055BFC" w:rsidP="00055BFC">
      <w:pPr>
        <w:pStyle w:val="Para1"/>
        <w:numPr>
          <w:ilvl w:val="0"/>
          <w:numId w:val="0"/>
        </w:numPr>
        <w:ind w:left="720" w:hanging="11"/>
      </w:pPr>
      <w:r w:rsidRPr="00487076">
        <w:t>15.</w:t>
      </w:r>
      <w:r w:rsidRPr="00487076">
        <w:tab/>
      </w:r>
      <w:r>
        <w:t>Штат сотрудников УАР был дополнен нанятыми в течение года консультантами: два в директорате, 19 в отделе внутреннего аудита и 21 в отделе расследований. Кроме того, в 2024 году для проведения внутреннего аудита и расследований УАР прибегало к услугам профессиональных компаний.</w:t>
      </w:r>
    </w:p>
    <w:p w14:paraId="0E397D65" w14:textId="77777777" w:rsidR="00055BFC" w:rsidRPr="00487076" w:rsidRDefault="00055BFC" w:rsidP="00055BFC">
      <w:pPr>
        <w:pStyle w:val="Para1"/>
        <w:numPr>
          <w:ilvl w:val="0"/>
          <w:numId w:val="0"/>
        </w:numPr>
        <w:ind w:left="720" w:hanging="11"/>
      </w:pPr>
      <w:r w:rsidRPr="00487076">
        <w:t>16.</w:t>
      </w:r>
      <w:r w:rsidRPr="00487076">
        <w:tab/>
      </w:r>
      <w:r>
        <w:t>Общая доля вакансий в УАР в 2024 году составила 13 процентов, что является заметным снижением по сравнению с 23 процентами в 2023 году (см. таблицу 1 ниже). Важно отметить, что в 2024 году был завершен процесс найма на четыре ранее вакантные должности специалистов в отделе внутреннего аудита. Другие вакансии были перенесены с 2023 года, а одна вспомогательная должность в директорате УАР, ставшая вакантной в 2024 году, оставалась вакантной по состоянию на 31 декабря 2024 года. Привлечение и удержание лучших кандидатов на вакансии остается сложной задачей в условиях жесткой конкуренции на рынке талантов.</w:t>
      </w:r>
    </w:p>
    <w:p w14:paraId="4E8C362D" w14:textId="77777777" w:rsidR="00055BFC" w:rsidRPr="00487076" w:rsidRDefault="00055BFC" w:rsidP="00055BFC">
      <w:pPr>
        <w:pStyle w:val="Figure"/>
      </w:pPr>
      <w:bookmarkStart w:id="15" w:name="_heading=h.1fob9te"/>
      <w:bookmarkEnd w:id="15"/>
      <w:r>
        <w:t>Таблица 1. Штатное расписание и бюджет на конец 2023 года и 2024 год по подразделениям УАР</w:t>
      </w:r>
    </w:p>
    <w:tbl>
      <w:tblPr>
        <w:tblW w:w="9219" w:type="dxa"/>
        <w:tblInd w:w="535" w:type="dxa"/>
        <w:tblLook w:val="04A0" w:firstRow="1" w:lastRow="0" w:firstColumn="1" w:lastColumn="0" w:noHBand="0" w:noVBand="1"/>
      </w:tblPr>
      <w:tblGrid>
        <w:gridCol w:w="3005"/>
        <w:gridCol w:w="775"/>
        <w:gridCol w:w="810"/>
        <w:gridCol w:w="810"/>
        <w:gridCol w:w="723"/>
        <w:gridCol w:w="756"/>
        <w:gridCol w:w="681"/>
        <w:gridCol w:w="39"/>
        <w:gridCol w:w="810"/>
        <w:gridCol w:w="810"/>
      </w:tblGrid>
      <w:tr w:rsidR="00055BFC" w:rsidRPr="00487076" w14:paraId="31C1611D" w14:textId="77777777" w:rsidTr="00B92127">
        <w:trPr>
          <w:trHeight w:val="263"/>
        </w:trPr>
        <w:tc>
          <w:tcPr>
            <w:tcW w:w="3005" w:type="dxa"/>
            <w:vMerge w:val="restart"/>
            <w:tcBorders>
              <w:top w:val="single" w:sz="4" w:space="0" w:color="auto"/>
              <w:left w:val="single" w:sz="4" w:space="0" w:color="auto"/>
              <w:right w:val="single" w:sz="4" w:space="0" w:color="auto"/>
            </w:tcBorders>
            <w:shd w:val="clear" w:color="000000" w:fill="D9D9D9"/>
            <w:noWrap/>
            <w:vAlign w:val="center"/>
          </w:tcPr>
          <w:p w14:paraId="740735CF" w14:textId="77777777" w:rsidR="00055BFC" w:rsidRPr="00487076" w:rsidRDefault="00055BFC" w:rsidP="00B92127">
            <w:pPr>
              <w:keepNext/>
              <w:spacing w:line="240" w:lineRule="auto"/>
              <w:rPr>
                <w:rFonts w:eastAsia="Times New Roman"/>
                <w:color w:val="000000"/>
                <w:sz w:val="18"/>
                <w:szCs w:val="18"/>
              </w:rPr>
            </w:pPr>
          </w:p>
        </w:tc>
        <w:tc>
          <w:tcPr>
            <w:tcW w:w="1585" w:type="dxa"/>
            <w:gridSpan w:val="2"/>
            <w:tcBorders>
              <w:top w:val="single" w:sz="4" w:space="0" w:color="auto"/>
              <w:left w:val="nil"/>
              <w:bottom w:val="single" w:sz="4" w:space="0" w:color="auto"/>
              <w:right w:val="single" w:sz="4" w:space="0" w:color="000000"/>
            </w:tcBorders>
            <w:shd w:val="clear" w:color="000000" w:fill="D9D9D9"/>
            <w:noWrap/>
            <w:vAlign w:val="bottom"/>
          </w:tcPr>
          <w:p w14:paraId="53A841C1" w14:textId="77777777" w:rsidR="00055BFC" w:rsidRPr="00487076" w:rsidRDefault="00055BFC" w:rsidP="00B92127">
            <w:pPr>
              <w:keepNext/>
              <w:spacing w:line="240" w:lineRule="auto"/>
              <w:jc w:val="center"/>
              <w:rPr>
                <w:rFonts w:eastAsia="Times New Roman"/>
                <w:b/>
                <w:bCs/>
                <w:color w:val="000000"/>
                <w:sz w:val="18"/>
                <w:szCs w:val="18"/>
              </w:rPr>
            </w:pPr>
            <w:r>
              <w:rPr>
                <w:b/>
                <w:color w:val="000000"/>
                <w:sz w:val="18"/>
              </w:rPr>
              <w:t>Внутренний аудит</w:t>
            </w:r>
          </w:p>
        </w:tc>
        <w:tc>
          <w:tcPr>
            <w:tcW w:w="1533" w:type="dxa"/>
            <w:gridSpan w:val="2"/>
            <w:tcBorders>
              <w:top w:val="single" w:sz="4" w:space="0" w:color="auto"/>
              <w:left w:val="nil"/>
              <w:bottom w:val="single" w:sz="4" w:space="0" w:color="auto"/>
              <w:right w:val="single" w:sz="4" w:space="0" w:color="000000"/>
            </w:tcBorders>
            <w:shd w:val="clear" w:color="000000" w:fill="D9D9D9"/>
            <w:noWrap/>
            <w:vAlign w:val="bottom"/>
          </w:tcPr>
          <w:p w14:paraId="78EF772E" w14:textId="77777777" w:rsidR="00055BFC" w:rsidRPr="00487076" w:rsidRDefault="00055BFC" w:rsidP="00B92127">
            <w:pPr>
              <w:keepNext/>
              <w:spacing w:line="240" w:lineRule="auto"/>
              <w:jc w:val="center"/>
              <w:rPr>
                <w:rFonts w:eastAsia="Times New Roman"/>
                <w:b/>
                <w:bCs/>
                <w:color w:val="000000"/>
                <w:sz w:val="18"/>
                <w:szCs w:val="18"/>
              </w:rPr>
            </w:pPr>
            <w:r>
              <w:rPr>
                <w:b/>
                <w:color w:val="000000"/>
                <w:sz w:val="18"/>
              </w:rPr>
              <w:t>Расследования</w:t>
            </w:r>
          </w:p>
        </w:tc>
        <w:tc>
          <w:tcPr>
            <w:tcW w:w="1437" w:type="dxa"/>
            <w:gridSpan w:val="2"/>
            <w:tcBorders>
              <w:top w:val="single" w:sz="4" w:space="0" w:color="auto"/>
              <w:left w:val="nil"/>
              <w:bottom w:val="single" w:sz="4" w:space="0" w:color="auto"/>
              <w:right w:val="single" w:sz="4" w:space="0" w:color="000000"/>
            </w:tcBorders>
            <w:shd w:val="clear" w:color="000000" w:fill="D9D9D9"/>
            <w:noWrap/>
            <w:vAlign w:val="bottom"/>
          </w:tcPr>
          <w:p w14:paraId="15BC1966" w14:textId="77777777" w:rsidR="00055BFC" w:rsidRPr="00487076" w:rsidRDefault="00055BFC" w:rsidP="00B92127">
            <w:pPr>
              <w:keepNext/>
              <w:spacing w:line="240" w:lineRule="auto"/>
              <w:jc w:val="center"/>
              <w:rPr>
                <w:rFonts w:eastAsia="Times New Roman"/>
                <w:b/>
                <w:bCs/>
                <w:color w:val="000000"/>
                <w:sz w:val="18"/>
                <w:szCs w:val="18"/>
              </w:rPr>
            </w:pPr>
            <w:r>
              <w:rPr>
                <w:b/>
                <w:color w:val="000000"/>
                <w:sz w:val="18"/>
              </w:rPr>
              <w:t>Директорат</w:t>
            </w:r>
          </w:p>
        </w:tc>
        <w:tc>
          <w:tcPr>
            <w:tcW w:w="1659" w:type="dxa"/>
            <w:gridSpan w:val="3"/>
            <w:tcBorders>
              <w:top w:val="single" w:sz="4" w:space="0" w:color="auto"/>
              <w:left w:val="nil"/>
              <w:bottom w:val="single" w:sz="4" w:space="0" w:color="auto"/>
              <w:right w:val="single" w:sz="4" w:space="0" w:color="000000"/>
            </w:tcBorders>
            <w:shd w:val="clear" w:color="000000" w:fill="D9D9D9"/>
            <w:noWrap/>
            <w:vAlign w:val="bottom"/>
          </w:tcPr>
          <w:p w14:paraId="6C2710EE" w14:textId="77777777" w:rsidR="00055BFC" w:rsidRPr="00487076" w:rsidRDefault="00055BFC" w:rsidP="00B92127">
            <w:pPr>
              <w:keepNext/>
              <w:spacing w:line="240" w:lineRule="auto"/>
              <w:jc w:val="center"/>
              <w:rPr>
                <w:rFonts w:eastAsia="Times New Roman"/>
                <w:b/>
                <w:bCs/>
                <w:color w:val="000000"/>
                <w:sz w:val="18"/>
                <w:szCs w:val="18"/>
              </w:rPr>
            </w:pPr>
            <w:r>
              <w:rPr>
                <w:b/>
                <w:color w:val="000000"/>
                <w:sz w:val="18"/>
              </w:rPr>
              <w:t>Итого</w:t>
            </w:r>
          </w:p>
        </w:tc>
      </w:tr>
      <w:tr w:rsidR="00055BFC" w:rsidRPr="00487076" w14:paraId="4DD0B9E0" w14:textId="77777777" w:rsidTr="00B92127">
        <w:trPr>
          <w:trHeight w:val="263"/>
          <w:tblHeader/>
        </w:trPr>
        <w:tc>
          <w:tcPr>
            <w:tcW w:w="3005" w:type="dxa"/>
            <w:vMerge/>
            <w:tcBorders>
              <w:left w:val="single" w:sz="4" w:space="0" w:color="auto"/>
              <w:bottom w:val="single" w:sz="4" w:space="0" w:color="auto"/>
              <w:right w:val="single" w:sz="4" w:space="0" w:color="auto"/>
            </w:tcBorders>
            <w:shd w:val="clear" w:color="000000" w:fill="D9D9D9"/>
            <w:noWrap/>
            <w:vAlign w:val="bottom"/>
            <w:hideMark/>
          </w:tcPr>
          <w:p w14:paraId="62B769AE" w14:textId="77777777" w:rsidR="00055BFC" w:rsidRPr="00487076" w:rsidRDefault="00055BFC" w:rsidP="00B92127">
            <w:pPr>
              <w:keepNext/>
              <w:spacing w:line="240" w:lineRule="auto"/>
              <w:jc w:val="center"/>
              <w:rPr>
                <w:rFonts w:eastAsia="Times New Roman"/>
                <w:color w:val="000000"/>
                <w:sz w:val="18"/>
                <w:szCs w:val="18"/>
              </w:rPr>
            </w:pPr>
          </w:p>
        </w:tc>
        <w:tc>
          <w:tcPr>
            <w:tcW w:w="775" w:type="dxa"/>
            <w:tcBorders>
              <w:top w:val="nil"/>
              <w:left w:val="nil"/>
              <w:bottom w:val="single" w:sz="4" w:space="0" w:color="auto"/>
              <w:right w:val="single" w:sz="4" w:space="0" w:color="auto"/>
            </w:tcBorders>
            <w:shd w:val="clear" w:color="000000" w:fill="D9D9D9"/>
            <w:noWrap/>
            <w:vAlign w:val="bottom"/>
            <w:hideMark/>
          </w:tcPr>
          <w:p w14:paraId="315E1160" w14:textId="77777777" w:rsidR="00055BFC" w:rsidRPr="00487076" w:rsidRDefault="00055BFC" w:rsidP="00B92127">
            <w:pPr>
              <w:keepNext/>
              <w:spacing w:line="240" w:lineRule="auto"/>
              <w:jc w:val="center"/>
              <w:rPr>
                <w:rFonts w:eastAsia="Times New Roman"/>
                <w:b/>
                <w:bCs/>
                <w:color w:val="000000"/>
                <w:sz w:val="18"/>
                <w:szCs w:val="18"/>
              </w:rPr>
            </w:pPr>
            <w:r>
              <w:rPr>
                <w:b/>
                <w:color w:val="000000"/>
                <w:sz w:val="18"/>
              </w:rPr>
              <w:t>2023</w:t>
            </w:r>
          </w:p>
        </w:tc>
        <w:tc>
          <w:tcPr>
            <w:tcW w:w="810" w:type="dxa"/>
            <w:tcBorders>
              <w:top w:val="nil"/>
              <w:left w:val="single" w:sz="4" w:space="0" w:color="auto"/>
              <w:bottom w:val="single" w:sz="4" w:space="0" w:color="auto"/>
              <w:right w:val="single" w:sz="4" w:space="0" w:color="auto"/>
            </w:tcBorders>
            <w:shd w:val="clear" w:color="000000" w:fill="D9D9D9"/>
            <w:noWrap/>
            <w:vAlign w:val="bottom"/>
            <w:hideMark/>
          </w:tcPr>
          <w:p w14:paraId="00CD6F90" w14:textId="77777777" w:rsidR="00055BFC" w:rsidRPr="00487076" w:rsidRDefault="00055BFC" w:rsidP="00B92127">
            <w:pPr>
              <w:keepNext/>
              <w:spacing w:line="240" w:lineRule="auto"/>
              <w:jc w:val="center"/>
              <w:rPr>
                <w:rFonts w:eastAsia="Times New Roman"/>
                <w:b/>
                <w:bCs/>
                <w:color w:val="000000"/>
                <w:sz w:val="18"/>
                <w:szCs w:val="18"/>
              </w:rPr>
            </w:pPr>
            <w:r>
              <w:rPr>
                <w:b/>
                <w:color w:val="000000"/>
                <w:sz w:val="18"/>
              </w:rPr>
              <w:t>2024</w:t>
            </w:r>
          </w:p>
        </w:tc>
        <w:tc>
          <w:tcPr>
            <w:tcW w:w="810" w:type="dxa"/>
            <w:tcBorders>
              <w:top w:val="nil"/>
              <w:left w:val="nil"/>
              <w:bottom w:val="single" w:sz="4" w:space="0" w:color="auto"/>
              <w:right w:val="single" w:sz="4" w:space="0" w:color="auto"/>
            </w:tcBorders>
            <w:shd w:val="clear" w:color="000000" w:fill="D9D9D9"/>
            <w:noWrap/>
            <w:vAlign w:val="bottom"/>
            <w:hideMark/>
          </w:tcPr>
          <w:p w14:paraId="643D9910" w14:textId="77777777" w:rsidR="00055BFC" w:rsidRPr="00487076" w:rsidRDefault="00055BFC" w:rsidP="00B92127">
            <w:pPr>
              <w:keepNext/>
              <w:spacing w:line="240" w:lineRule="auto"/>
              <w:jc w:val="center"/>
              <w:rPr>
                <w:rFonts w:eastAsia="Times New Roman"/>
                <w:b/>
                <w:bCs/>
                <w:color w:val="000000"/>
                <w:sz w:val="18"/>
                <w:szCs w:val="18"/>
              </w:rPr>
            </w:pPr>
            <w:r>
              <w:rPr>
                <w:b/>
                <w:color w:val="000000"/>
                <w:sz w:val="18"/>
              </w:rPr>
              <w:t>2023</w:t>
            </w:r>
          </w:p>
        </w:tc>
        <w:tc>
          <w:tcPr>
            <w:tcW w:w="723" w:type="dxa"/>
            <w:tcBorders>
              <w:top w:val="nil"/>
              <w:left w:val="nil"/>
              <w:bottom w:val="single" w:sz="4" w:space="0" w:color="auto"/>
              <w:right w:val="single" w:sz="4" w:space="0" w:color="auto"/>
            </w:tcBorders>
            <w:shd w:val="clear" w:color="000000" w:fill="D9D9D9"/>
            <w:noWrap/>
            <w:vAlign w:val="bottom"/>
            <w:hideMark/>
          </w:tcPr>
          <w:p w14:paraId="2A25EC08" w14:textId="77777777" w:rsidR="00055BFC" w:rsidRPr="00487076" w:rsidRDefault="00055BFC" w:rsidP="00B92127">
            <w:pPr>
              <w:keepNext/>
              <w:spacing w:line="240" w:lineRule="auto"/>
              <w:jc w:val="center"/>
              <w:rPr>
                <w:rFonts w:eastAsia="Times New Roman"/>
                <w:b/>
                <w:bCs/>
                <w:color w:val="000000"/>
                <w:sz w:val="18"/>
                <w:szCs w:val="18"/>
              </w:rPr>
            </w:pPr>
            <w:r>
              <w:rPr>
                <w:b/>
                <w:color w:val="000000"/>
                <w:sz w:val="18"/>
              </w:rPr>
              <w:t>2024</w:t>
            </w:r>
          </w:p>
        </w:tc>
        <w:tc>
          <w:tcPr>
            <w:tcW w:w="756" w:type="dxa"/>
            <w:tcBorders>
              <w:top w:val="nil"/>
              <w:left w:val="nil"/>
              <w:bottom w:val="single" w:sz="4" w:space="0" w:color="auto"/>
              <w:right w:val="single" w:sz="4" w:space="0" w:color="auto"/>
            </w:tcBorders>
            <w:shd w:val="clear" w:color="000000" w:fill="D9D9D9"/>
            <w:noWrap/>
            <w:vAlign w:val="bottom"/>
            <w:hideMark/>
          </w:tcPr>
          <w:p w14:paraId="0BDCBF75" w14:textId="77777777" w:rsidR="00055BFC" w:rsidRPr="00487076" w:rsidRDefault="00055BFC" w:rsidP="00B92127">
            <w:pPr>
              <w:keepNext/>
              <w:spacing w:line="240" w:lineRule="auto"/>
              <w:jc w:val="center"/>
              <w:rPr>
                <w:rFonts w:eastAsia="Times New Roman"/>
                <w:b/>
                <w:bCs/>
                <w:color w:val="000000"/>
                <w:sz w:val="18"/>
                <w:szCs w:val="18"/>
              </w:rPr>
            </w:pPr>
            <w:r>
              <w:rPr>
                <w:b/>
                <w:color w:val="000000"/>
                <w:sz w:val="18"/>
              </w:rPr>
              <w:t>2023</w:t>
            </w:r>
          </w:p>
        </w:tc>
        <w:tc>
          <w:tcPr>
            <w:tcW w:w="720" w:type="dxa"/>
            <w:gridSpan w:val="2"/>
            <w:tcBorders>
              <w:top w:val="nil"/>
              <w:left w:val="nil"/>
              <w:bottom w:val="single" w:sz="4" w:space="0" w:color="auto"/>
              <w:right w:val="single" w:sz="4" w:space="0" w:color="auto"/>
            </w:tcBorders>
            <w:shd w:val="clear" w:color="000000" w:fill="D9D9D9"/>
            <w:noWrap/>
            <w:vAlign w:val="bottom"/>
            <w:hideMark/>
          </w:tcPr>
          <w:p w14:paraId="2EA9A919" w14:textId="77777777" w:rsidR="00055BFC" w:rsidRPr="00487076" w:rsidRDefault="00055BFC" w:rsidP="00B92127">
            <w:pPr>
              <w:keepNext/>
              <w:spacing w:line="240" w:lineRule="auto"/>
              <w:jc w:val="center"/>
              <w:rPr>
                <w:rFonts w:eastAsia="Times New Roman"/>
                <w:b/>
                <w:bCs/>
                <w:color w:val="000000"/>
                <w:sz w:val="18"/>
                <w:szCs w:val="18"/>
              </w:rPr>
            </w:pPr>
            <w:r>
              <w:rPr>
                <w:b/>
                <w:color w:val="000000"/>
                <w:sz w:val="18"/>
              </w:rPr>
              <w:t>2024</w:t>
            </w:r>
          </w:p>
        </w:tc>
        <w:tc>
          <w:tcPr>
            <w:tcW w:w="810" w:type="dxa"/>
            <w:tcBorders>
              <w:top w:val="nil"/>
              <w:left w:val="nil"/>
              <w:bottom w:val="single" w:sz="4" w:space="0" w:color="auto"/>
              <w:right w:val="single" w:sz="4" w:space="0" w:color="auto"/>
            </w:tcBorders>
            <w:shd w:val="clear" w:color="000000" w:fill="D9D9D9"/>
            <w:noWrap/>
            <w:vAlign w:val="bottom"/>
            <w:hideMark/>
          </w:tcPr>
          <w:p w14:paraId="3DC8E366" w14:textId="77777777" w:rsidR="00055BFC" w:rsidRPr="00487076" w:rsidRDefault="00055BFC" w:rsidP="00B92127">
            <w:pPr>
              <w:keepNext/>
              <w:spacing w:line="240" w:lineRule="auto"/>
              <w:jc w:val="center"/>
              <w:rPr>
                <w:rFonts w:eastAsia="Times New Roman"/>
                <w:b/>
                <w:bCs/>
                <w:color w:val="000000"/>
                <w:sz w:val="18"/>
                <w:szCs w:val="18"/>
              </w:rPr>
            </w:pPr>
            <w:r>
              <w:rPr>
                <w:b/>
                <w:color w:val="000000"/>
                <w:sz w:val="18"/>
              </w:rPr>
              <w:t>2023</w:t>
            </w:r>
          </w:p>
        </w:tc>
        <w:tc>
          <w:tcPr>
            <w:tcW w:w="810" w:type="dxa"/>
            <w:tcBorders>
              <w:top w:val="nil"/>
              <w:left w:val="nil"/>
              <w:bottom w:val="single" w:sz="4" w:space="0" w:color="auto"/>
              <w:right w:val="single" w:sz="4" w:space="0" w:color="auto"/>
            </w:tcBorders>
            <w:shd w:val="clear" w:color="000000" w:fill="D9D9D9"/>
            <w:noWrap/>
            <w:vAlign w:val="bottom"/>
            <w:hideMark/>
          </w:tcPr>
          <w:p w14:paraId="5EC88630" w14:textId="77777777" w:rsidR="00055BFC" w:rsidRPr="00487076" w:rsidRDefault="00055BFC" w:rsidP="00B92127">
            <w:pPr>
              <w:keepNext/>
              <w:spacing w:line="240" w:lineRule="auto"/>
              <w:jc w:val="center"/>
              <w:rPr>
                <w:rFonts w:eastAsia="Times New Roman"/>
                <w:b/>
                <w:bCs/>
                <w:color w:val="000000"/>
                <w:sz w:val="18"/>
                <w:szCs w:val="18"/>
              </w:rPr>
            </w:pPr>
            <w:r>
              <w:rPr>
                <w:b/>
                <w:color w:val="000000"/>
                <w:sz w:val="18"/>
              </w:rPr>
              <w:t>2024*</w:t>
            </w:r>
          </w:p>
        </w:tc>
      </w:tr>
      <w:tr w:rsidR="00055BFC" w:rsidRPr="00487076" w14:paraId="63E08464" w14:textId="77777777" w:rsidTr="00B92127">
        <w:trPr>
          <w:trHeight w:val="26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5B77A96E" w14:textId="77777777" w:rsidR="00055BFC" w:rsidRPr="00487076" w:rsidRDefault="00055BFC" w:rsidP="00B92127">
            <w:pPr>
              <w:spacing w:line="240" w:lineRule="auto"/>
              <w:rPr>
                <w:rFonts w:eastAsia="Times New Roman"/>
                <w:color w:val="000000"/>
                <w:sz w:val="18"/>
                <w:szCs w:val="18"/>
              </w:rPr>
            </w:pPr>
            <w:r>
              <w:rPr>
                <w:color w:val="000000"/>
                <w:sz w:val="18"/>
              </w:rPr>
              <w:t>Должности категории специалистов D2 — утвержденные</w:t>
            </w:r>
          </w:p>
        </w:tc>
        <w:tc>
          <w:tcPr>
            <w:tcW w:w="775" w:type="dxa"/>
            <w:tcBorders>
              <w:top w:val="nil"/>
              <w:left w:val="nil"/>
              <w:bottom w:val="single" w:sz="4" w:space="0" w:color="auto"/>
              <w:right w:val="nil"/>
            </w:tcBorders>
            <w:shd w:val="clear" w:color="auto" w:fill="auto"/>
            <w:noWrap/>
            <w:vAlign w:val="bottom"/>
            <w:hideMark/>
          </w:tcPr>
          <w:p w14:paraId="18ABBFBF" w14:textId="77777777" w:rsidR="00055BFC" w:rsidRPr="00487076" w:rsidRDefault="00055BFC" w:rsidP="00B92127">
            <w:pPr>
              <w:spacing w:line="240" w:lineRule="auto"/>
              <w:jc w:val="center"/>
              <w:rPr>
                <w:rFonts w:eastAsia="Times New Roman"/>
                <w:color w:val="000000"/>
                <w:sz w:val="18"/>
                <w:szCs w:val="18"/>
              </w:rPr>
            </w:pPr>
            <w:r>
              <w:rPr>
                <w:color w:val="000000"/>
                <w:sz w:val="18"/>
              </w:rPr>
              <w:t>12</w:t>
            </w:r>
          </w:p>
        </w:tc>
        <w:tc>
          <w:tcPr>
            <w:tcW w:w="810" w:type="dxa"/>
            <w:tcBorders>
              <w:top w:val="nil"/>
              <w:left w:val="nil"/>
              <w:bottom w:val="single" w:sz="4" w:space="0" w:color="auto"/>
              <w:right w:val="single" w:sz="4" w:space="0" w:color="auto"/>
            </w:tcBorders>
            <w:shd w:val="clear" w:color="auto" w:fill="auto"/>
            <w:noWrap/>
            <w:vAlign w:val="bottom"/>
            <w:hideMark/>
          </w:tcPr>
          <w:p w14:paraId="0FE7D39D" w14:textId="77777777" w:rsidR="00055BFC" w:rsidRPr="00487076" w:rsidRDefault="00055BFC" w:rsidP="00B92127">
            <w:pPr>
              <w:spacing w:line="240" w:lineRule="auto"/>
              <w:jc w:val="center"/>
              <w:rPr>
                <w:rFonts w:eastAsia="Times New Roman"/>
                <w:color w:val="000000"/>
                <w:sz w:val="18"/>
                <w:szCs w:val="18"/>
              </w:rPr>
            </w:pPr>
            <w:r>
              <w:rPr>
                <w:color w:val="000000"/>
                <w:sz w:val="18"/>
              </w:rPr>
              <w:t>12</w:t>
            </w:r>
          </w:p>
        </w:tc>
        <w:tc>
          <w:tcPr>
            <w:tcW w:w="810" w:type="dxa"/>
            <w:tcBorders>
              <w:top w:val="nil"/>
              <w:left w:val="nil"/>
              <w:bottom w:val="single" w:sz="4" w:space="0" w:color="auto"/>
              <w:right w:val="nil"/>
            </w:tcBorders>
            <w:shd w:val="clear" w:color="auto" w:fill="auto"/>
            <w:noWrap/>
            <w:vAlign w:val="bottom"/>
            <w:hideMark/>
          </w:tcPr>
          <w:p w14:paraId="4BADDD9D" w14:textId="77777777" w:rsidR="00055BFC" w:rsidRPr="00487076" w:rsidRDefault="00055BFC" w:rsidP="00B92127">
            <w:pPr>
              <w:spacing w:line="240" w:lineRule="auto"/>
              <w:jc w:val="center"/>
              <w:rPr>
                <w:rFonts w:eastAsia="Times New Roman"/>
                <w:color w:val="000000"/>
                <w:sz w:val="18"/>
                <w:szCs w:val="18"/>
              </w:rPr>
            </w:pPr>
            <w:r>
              <w:rPr>
                <w:color w:val="000000"/>
                <w:sz w:val="18"/>
              </w:rPr>
              <w:t>12</w:t>
            </w:r>
          </w:p>
        </w:tc>
        <w:tc>
          <w:tcPr>
            <w:tcW w:w="723" w:type="dxa"/>
            <w:tcBorders>
              <w:top w:val="nil"/>
              <w:left w:val="nil"/>
              <w:bottom w:val="single" w:sz="4" w:space="0" w:color="auto"/>
              <w:right w:val="single" w:sz="4" w:space="0" w:color="auto"/>
            </w:tcBorders>
            <w:shd w:val="clear" w:color="auto" w:fill="auto"/>
            <w:noWrap/>
            <w:vAlign w:val="bottom"/>
            <w:hideMark/>
          </w:tcPr>
          <w:p w14:paraId="681BB6FC" w14:textId="77777777" w:rsidR="00055BFC" w:rsidRPr="00487076" w:rsidRDefault="00055BFC" w:rsidP="00B92127">
            <w:pPr>
              <w:spacing w:line="240" w:lineRule="auto"/>
              <w:jc w:val="center"/>
              <w:rPr>
                <w:rFonts w:eastAsia="Times New Roman"/>
                <w:color w:val="000000"/>
                <w:sz w:val="18"/>
                <w:szCs w:val="18"/>
              </w:rPr>
            </w:pPr>
            <w:r>
              <w:rPr>
                <w:color w:val="000000"/>
                <w:sz w:val="18"/>
              </w:rPr>
              <w:t>12</w:t>
            </w:r>
          </w:p>
        </w:tc>
        <w:tc>
          <w:tcPr>
            <w:tcW w:w="756" w:type="dxa"/>
            <w:tcBorders>
              <w:top w:val="nil"/>
              <w:left w:val="nil"/>
              <w:bottom w:val="single" w:sz="4" w:space="0" w:color="auto"/>
              <w:right w:val="nil"/>
            </w:tcBorders>
            <w:shd w:val="clear" w:color="auto" w:fill="auto"/>
            <w:noWrap/>
            <w:vAlign w:val="bottom"/>
            <w:hideMark/>
          </w:tcPr>
          <w:p w14:paraId="0A47D16B" w14:textId="77777777" w:rsidR="00055BFC" w:rsidRPr="00487076" w:rsidRDefault="00055BFC" w:rsidP="00B92127">
            <w:pPr>
              <w:spacing w:line="240" w:lineRule="auto"/>
              <w:jc w:val="center"/>
              <w:rPr>
                <w:rFonts w:eastAsia="Times New Roman"/>
                <w:color w:val="000000"/>
                <w:sz w:val="18"/>
                <w:szCs w:val="18"/>
              </w:rPr>
            </w:pPr>
            <w:r>
              <w:rPr>
                <w:color w:val="000000"/>
                <w:sz w:val="18"/>
              </w:rPr>
              <w:t>3</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039B09E" w14:textId="77777777" w:rsidR="00055BFC" w:rsidRPr="00487076" w:rsidRDefault="00055BFC" w:rsidP="00B92127">
            <w:pPr>
              <w:spacing w:line="240" w:lineRule="auto"/>
              <w:jc w:val="center"/>
              <w:rPr>
                <w:rFonts w:eastAsia="Times New Roman"/>
                <w:color w:val="000000"/>
                <w:sz w:val="18"/>
                <w:szCs w:val="18"/>
              </w:rPr>
            </w:pPr>
            <w:r>
              <w:rPr>
                <w:color w:val="000000"/>
                <w:sz w:val="18"/>
              </w:rPr>
              <w:t>3</w:t>
            </w:r>
          </w:p>
        </w:tc>
        <w:tc>
          <w:tcPr>
            <w:tcW w:w="810" w:type="dxa"/>
            <w:tcBorders>
              <w:top w:val="nil"/>
              <w:left w:val="nil"/>
              <w:bottom w:val="single" w:sz="4" w:space="0" w:color="auto"/>
              <w:right w:val="nil"/>
            </w:tcBorders>
            <w:shd w:val="clear" w:color="auto" w:fill="auto"/>
            <w:noWrap/>
            <w:vAlign w:val="bottom"/>
            <w:hideMark/>
          </w:tcPr>
          <w:p w14:paraId="40396076" w14:textId="77777777" w:rsidR="00055BFC" w:rsidRPr="00487076" w:rsidRDefault="00055BFC" w:rsidP="00B92127">
            <w:pPr>
              <w:spacing w:line="240" w:lineRule="auto"/>
              <w:jc w:val="center"/>
              <w:rPr>
                <w:rFonts w:eastAsia="Times New Roman"/>
                <w:b/>
                <w:bCs/>
                <w:color w:val="000000"/>
                <w:sz w:val="18"/>
                <w:szCs w:val="18"/>
              </w:rPr>
            </w:pPr>
            <w:r>
              <w:rPr>
                <w:b/>
                <w:color w:val="000000"/>
                <w:sz w:val="18"/>
              </w:rPr>
              <w:t>27</w:t>
            </w:r>
          </w:p>
        </w:tc>
        <w:tc>
          <w:tcPr>
            <w:tcW w:w="810" w:type="dxa"/>
            <w:tcBorders>
              <w:top w:val="nil"/>
              <w:left w:val="nil"/>
              <w:bottom w:val="single" w:sz="4" w:space="0" w:color="auto"/>
              <w:right w:val="single" w:sz="4" w:space="0" w:color="auto"/>
            </w:tcBorders>
            <w:shd w:val="clear" w:color="auto" w:fill="auto"/>
            <w:noWrap/>
            <w:vAlign w:val="bottom"/>
            <w:hideMark/>
          </w:tcPr>
          <w:p w14:paraId="74365825" w14:textId="77777777" w:rsidR="00055BFC" w:rsidRPr="00487076" w:rsidRDefault="00055BFC" w:rsidP="00B92127">
            <w:pPr>
              <w:spacing w:line="240" w:lineRule="auto"/>
              <w:jc w:val="center"/>
              <w:rPr>
                <w:rFonts w:eastAsia="Times New Roman"/>
                <w:b/>
                <w:bCs/>
                <w:color w:val="000000"/>
                <w:sz w:val="18"/>
                <w:szCs w:val="18"/>
              </w:rPr>
            </w:pPr>
            <w:r>
              <w:rPr>
                <w:b/>
                <w:color w:val="000000"/>
                <w:sz w:val="18"/>
              </w:rPr>
              <w:t>27</w:t>
            </w:r>
          </w:p>
        </w:tc>
      </w:tr>
      <w:tr w:rsidR="00055BFC" w:rsidRPr="00487076" w14:paraId="50E95544" w14:textId="77777777" w:rsidTr="00B92127">
        <w:trPr>
          <w:trHeight w:val="26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3743E165" w14:textId="77777777" w:rsidR="00055BFC" w:rsidRPr="00487076" w:rsidRDefault="00055BFC" w:rsidP="00B92127">
            <w:pPr>
              <w:spacing w:line="240" w:lineRule="auto"/>
              <w:rPr>
                <w:rFonts w:eastAsia="Times New Roman"/>
                <w:color w:val="000000"/>
                <w:sz w:val="18"/>
                <w:szCs w:val="18"/>
              </w:rPr>
            </w:pPr>
            <w:r>
              <w:rPr>
                <w:color w:val="000000"/>
                <w:sz w:val="18"/>
              </w:rPr>
              <w:t xml:space="preserve">Должности категории специалистов — занятые </w:t>
            </w:r>
          </w:p>
        </w:tc>
        <w:tc>
          <w:tcPr>
            <w:tcW w:w="775" w:type="dxa"/>
            <w:tcBorders>
              <w:top w:val="nil"/>
              <w:left w:val="nil"/>
              <w:bottom w:val="single" w:sz="4" w:space="0" w:color="auto"/>
              <w:right w:val="nil"/>
            </w:tcBorders>
            <w:shd w:val="clear" w:color="auto" w:fill="auto"/>
            <w:noWrap/>
            <w:vAlign w:val="bottom"/>
            <w:hideMark/>
          </w:tcPr>
          <w:p w14:paraId="422ABD34" w14:textId="77777777" w:rsidR="00055BFC" w:rsidRPr="00487076" w:rsidRDefault="00055BFC" w:rsidP="00B92127">
            <w:pPr>
              <w:spacing w:line="240" w:lineRule="auto"/>
              <w:jc w:val="center"/>
              <w:rPr>
                <w:rFonts w:eastAsia="Times New Roman"/>
                <w:color w:val="000000"/>
                <w:sz w:val="18"/>
                <w:szCs w:val="18"/>
              </w:rPr>
            </w:pPr>
            <w:r>
              <w:rPr>
                <w:color w:val="000000"/>
                <w:sz w:val="18"/>
              </w:rPr>
              <w:t>8</w:t>
            </w:r>
          </w:p>
        </w:tc>
        <w:tc>
          <w:tcPr>
            <w:tcW w:w="810" w:type="dxa"/>
            <w:tcBorders>
              <w:top w:val="nil"/>
              <w:left w:val="nil"/>
              <w:bottom w:val="single" w:sz="4" w:space="0" w:color="auto"/>
              <w:right w:val="single" w:sz="4" w:space="0" w:color="auto"/>
            </w:tcBorders>
            <w:shd w:val="clear" w:color="auto" w:fill="auto"/>
            <w:noWrap/>
            <w:vAlign w:val="bottom"/>
            <w:hideMark/>
          </w:tcPr>
          <w:p w14:paraId="7CA941BD" w14:textId="77777777" w:rsidR="00055BFC" w:rsidRPr="00487076" w:rsidRDefault="00055BFC" w:rsidP="00B92127">
            <w:pPr>
              <w:spacing w:line="240" w:lineRule="auto"/>
              <w:jc w:val="center"/>
              <w:rPr>
                <w:rFonts w:eastAsia="Times New Roman"/>
                <w:color w:val="000000"/>
                <w:sz w:val="18"/>
                <w:szCs w:val="18"/>
              </w:rPr>
            </w:pPr>
            <w:r>
              <w:rPr>
                <w:color w:val="000000"/>
                <w:sz w:val="18"/>
              </w:rPr>
              <w:t>12</w:t>
            </w:r>
          </w:p>
        </w:tc>
        <w:tc>
          <w:tcPr>
            <w:tcW w:w="810" w:type="dxa"/>
            <w:tcBorders>
              <w:top w:val="nil"/>
              <w:left w:val="nil"/>
              <w:bottom w:val="single" w:sz="4" w:space="0" w:color="auto"/>
              <w:right w:val="nil"/>
            </w:tcBorders>
            <w:shd w:val="clear" w:color="auto" w:fill="auto"/>
            <w:noWrap/>
            <w:vAlign w:val="bottom"/>
            <w:hideMark/>
          </w:tcPr>
          <w:p w14:paraId="044BE54D" w14:textId="77777777" w:rsidR="00055BFC" w:rsidRPr="00487076" w:rsidRDefault="00055BFC" w:rsidP="00B92127">
            <w:pPr>
              <w:spacing w:line="240" w:lineRule="auto"/>
              <w:jc w:val="center"/>
              <w:rPr>
                <w:rFonts w:eastAsia="Times New Roman"/>
                <w:color w:val="000000"/>
                <w:sz w:val="18"/>
                <w:szCs w:val="18"/>
              </w:rPr>
            </w:pPr>
            <w:r>
              <w:rPr>
                <w:color w:val="000000"/>
                <w:sz w:val="18"/>
              </w:rPr>
              <w:t>9</w:t>
            </w:r>
          </w:p>
        </w:tc>
        <w:tc>
          <w:tcPr>
            <w:tcW w:w="723" w:type="dxa"/>
            <w:tcBorders>
              <w:top w:val="nil"/>
              <w:left w:val="nil"/>
              <w:bottom w:val="single" w:sz="4" w:space="0" w:color="auto"/>
              <w:right w:val="single" w:sz="4" w:space="0" w:color="auto"/>
            </w:tcBorders>
            <w:shd w:val="clear" w:color="auto" w:fill="auto"/>
            <w:noWrap/>
            <w:vAlign w:val="bottom"/>
            <w:hideMark/>
          </w:tcPr>
          <w:p w14:paraId="6EA87557" w14:textId="77777777" w:rsidR="00055BFC" w:rsidRPr="00487076" w:rsidRDefault="00055BFC" w:rsidP="00B92127">
            <w:pPr>
              <w:spacing w:line="240" w:lineRule="auto"/>
              <w:jc w:val="center"/>
              <w:rPr>
                <w:rFonts w:eastAsia="Times New Roman"/>
                <w:color w:val="000000"/>
                <w:sz w:val="18"/>
                <w:szCs w:val="18"/>
              </w:rPr>
            </w:pPr>
            <w:r>
              <w:rPr>
                <w:color w:val="000000"/>
                <w:sz w:val="18"/>
              </w:rPr>
              <w:t>9</w:t>
            </w:r>
          </w:p>
        </w:tc>
        <w:tc>
          <w:tcPr>
            <w:tcW w:w="756" w:type="dxa"/>
            <w:tcBorders>
              <w:top w:val="nil"/>
              <w:left w:val="nil"/>
              <w:bottom w:val="single" w:sz="4" w:space="0" w:color="auto"/>
              <w:right w:val="nil"/>
            </w:tcBorders>
            <w:shd w:val="clear" w:color="auto" w:fill="auto"/>
            <w:noWrap/>
            <w:vAlign w:val="bottom"/>
            <w:hideMark/>
          </w:tcPr>
          <w:p w14:paraId="4FAA778D" w14:textId="77777777" w:rsidR="00055BFC" w:rsidRPr="00487076" w:rsidRDefault="00055BFC" w:rsidP="00B92127">
            <w:pPr>
              <w:spacing w:line="240" w:lineRule="auto"/>
              <w:jc w:val="center"/>
              <w:rPr>
                <w:rFonts w:eastAsia="Times New Roman"/>
                <w:color w:val="000000"/>
                <w:sz w:val="18"/>
                <w:szCs w:val="18"/>
              </w:rPr>
            </w:pPr>
            <w:r>
              <w:rPr>
                <w:color w:val="000000"/>
                <w:sz w:val="18"/>
              </w:rPr>
              <w:t>3</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9B93A42" w14:textId="77777777" w:rsidR="00055BFC" w:rsidRPr="00487076" w:rsidRDefault="00055BFC" w:rsidP="00B92127">
            <w:pPr>
              <w:spacing w:line="240" w:lineRule="auto"/>
              <w:jc w:val="center"/>
              <w:rPr>
                <w:rFonts w:eastAsia="Times New Roman"/>
                <w:color w:val="000000"/>
                <w:sz w:val="18"/>
                <w:szCs w:val="18"/>
              </w:rPr>
            </w:pPr>
            <w:r>
              <w:rPr>
                <w:color w:val="000000"/>
                <w:sz w:val="18"/>
              </w:rPr>
              <w:t>3</w:t>
            </w:r>
          </w:p>
        </w:tc>
        <w:tc>
          <w:tcPr>
            <w:tcW w:w="810" w:type="dxa"/>
            <w:tcBorders>
              <w:top w:val="nil"/>
              <w:left w:val="nil"/>
              <w:bottom w:val="single" w:sz="4" w:space="0" w:color="auto"/>
              <w:right w:val="nil"/>
            </w:tcBorders>
            <w:shd w:val="clear" w:color="auto" w:fill="auto"/>
            <w:noWrap/>
            <w:vAlign w:val="bottom"/>
            <w:hideMark/>
          </w:tcPr>
          <w:p w14:paraId="31FCCE3E" w14:textId="77777777" w:rsidR="00055BFC" w:rsidRPr="00487076" w:rsidRDefault="00055BFC" w:rsidP="00B92127">
            <w:pPr>
              <w:spacing w:line="240" w:lineRule="auto"/>
              <w:jc w:val="center"/>
              <w:rPr>
                <w:rFonts w:eastAsia="Times New Roman"/>
                <w:b/>
                <w:bCs/>
                <w:color w:val="000000"/>
                <w:sz w:val="18"/>
                <w:szCs w:val="18"/>
              </w:rPr>
            </w:pPr>
            <w:r>
              <w:rPr>
                <w:b/>
                <w:color w:val="000000"/>
                <w:sz w:val="18"/>
              </w:rPr>
              <w:t>20</w:t>
            </w:r>
          </w:p>
        </w:tc>
        <w:tc>
          <w:tcPr>
            <w:tcW w:w="810" w:type="dxa"/>
            <w:tcBorders>
              <w:top w:val="nil"/>
              <w:left w:val="nil"/>
              <w:bottom w:val="single" w:sz="4" w:space="0" w:color="auto"/>
              <w:right w:val="single" w:sz="4" w:space="0" w:color="auto"/>
            </w:tcBorders>
            <w:shd w:val="clear" w:color="auto" w:fill="auto"/>
            <w:noWrap/>
            <w:vAlign w:val="bottom"/>
            <w:hideMark/>
          </w:tcPr>
          <w:p w14:paraId="4A80F950" w14:textId="77777777" w:rsidR="00055BFC" w:rsidRPr="00487076" w:rsidRDefault="00055BFC" w:rsidP="00B92127">
            <w:pPr>
              <w:spacing w:line="240" w:lineRule="auto"/>
              <w:jc w:val="center"/>
              <w:rPr>
                <w:rFonts w:eastAsia="Times New Roman"/>
                <w:b/>
                <w:bCs/>
                <w:color w:val="000000"/>
                <w:sz w:val="18"/>
                <w:szCs w:val="18"/>
              </w:rPr>
            </w:pPr>
            <w:r>
              <w:rPr>
                <w:b/>
                <w:color w:val="000000"/>
                <w:sz w:val="18"/>
              </w:rPr>
              <w:t>24</w:t>
            </w:r>
          </w:p>
        </w:tc>
      </w:tr>
      <w:tr w:rsidR="00055BFC" w:rsidRPr="00487076" w14:paraId="559A2759" w14:textId="77777777" w:rsidTr="00B92127">
        <w:trPr>
          <w:trHeight w:val="26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2278FE6D" w14:textId="77777777" w:rsidR="00055BFC" w:rsidRPr="00487076" w:rsidRDefault="00055BFC" w:rsidP="00B92127">
            <w:pPr>
              <w:spacing w:line="240" w:lineRule="auto"/>
              <w:rPr>
                <w:rFonts w:eastAsia="Times New Roman"/>
                <w:color w:val="000000"/>
                <w:sz w:val="18"/>
                <w:szCs w:val="18"/>
              </w:rPr>
            </w:pPr>
            <w:r>
              <w:rPr>
                <w:color w:val="000000"/>
                <w:sz w:val="18"/>
              </w:rPr>
              <w:t>Вспомогательные должности — утвержденные</w:t>
            </w:r>
          </w:p>
        </w:tc>
        <w:tc>
          <w:tcPr>
            <w:tcW w:w="775" w:type="dxa"/>
            <w:tcBorders>
              <w:top w:val="nil"/>
              <w:left w:val="nil"/>
              <w:bottom w:val="single" w:sz="4" w:space="0" w:color="auto"/>
              <w:right w:val="nil"/>
            </w:tcBorders>
            <w:shd w:val="clear" w:color="auto" w:fill="auto"/>
            <w:noWrap/>
            <w:vAlign w:val="bottom"/>
            <w:hideMark/>
          </w:tcPr>
          <w:p w14:paraId="16C56495" w14:textId="77777777" w:rsidR="00055BFC" w:rsidRPr="00487076" w:rsidRDefault="00055BFC" w:rsidP="00B92127">
            <w:pPr>
              <w:spacing w:line="240" w:lineRule="auto"/>
              <w:jc w:val="center"/>
              <w:rPr>
                <w:rFonts w:eastAsia="Times New Roman"/>
                <w:color w:val="000000"/>
                <w:sz w:val="18"/>
                <w:szCs w:val="18"/>
              </w:rPr>
            </w:pPr>
            <w:r>
              <w:rPr>
                <w:color w:val="000000"/>
                <w:sz w:val="18"/>
              </w:rPr>
              <w:t>1</w:t>
            </w:r>
          </w:p>
        </w:tc>
        <w:tc>
          <w:tcPr>
            <w:tcW w:w="810" w:type="dxa"/>
            <w:tcBorders>
              <w:top w:val="nil"/>
              <w:left w:val="nil"/>
              <w:bottom w:val="single" w:sz="4" w:space="0" w:color="auto"/>
              <w:right w:val="single" w:sz="4" w:space="0" w:color="auto"/>
            </w:tcBorders>
            <w:shd w:val="clear" w:color="auto" w:fill="auto"/>
            <w:noWrap/>
            <w:vAlign w:val="bottom"/>
            <w:hideMark/>
          </w:tcPr>
          <w:p w14:paraId="2DB05876" w14:textId="77777777" w:rsidR="00055BFC" w:rsidRPr="00487076" w:rsidRDefault="00055BFC" w:rsidP="00B92127">
            <w:pPr>
              <w:spacing w:line="240" w:lineRule="auto"/>
              <w:jc w:val="center"/>
              <w:rPr>
                <w:rFonts w:eastAsia="Times New Roman"/>
                <w:color w:val="000000"/>
                <w:sz w:val="18"/>
                <w:szCs w:val="18"/>
              </w:rPr>
            </w:pPr>
            <w:r>
              <w:rPr>
                <w:color w:val="000000"/>
                <w:sz w:val="18"/>
              </w:rPr>
              <w:t>1</w:t>
            </w:r>
          </w:p>
        </w:tc>
        <w:tc>
          <w:tcPr>
            <w:tcW w:w="810" w:type="dxa"/>
            <w:tcBorders>
              <w:top w:val="nil"/>
              <w:left w:val="nil"/>
              <w:bottom w:val="single" w:sz="4" w:space="0" w:color="auto"/>
              <w:right w:val="nil"/>
            </w:tcBorders>
            <w:shd w:val="clear" w:color="auto" w:fill="auto"/>
            <w:noWrap/>
            <w:vAlign w:val="bottom"/>
            <w:hideMark/>
          </w:tcPr>
          <w:p w14:paraId="613E6069" w14:textId="77777777" w:rsidR="00055BFC" w:rsidRPr="00487076" w:rsidRDefault="00055BFC" w:rsidP="00B92127">
            <w:pPr>
              <w:spacing w:line="240" w:lineRule="auto"/>
              <w:jc w:val="center"/>
              <w:rPr>
                <w:rFonts w:eastAsia="Times New Roman"/>
                <w:color w:val="000000"/>
                <w:sz w:val="18"/>
                <w:szCs w:val="18"/>
              </w:rPr>
            </w:pPr>
            <w:r>
              <w:rPr>
                <w:color w:val="000000"/>
                <w:sz w:val="18"/>
              </w:rPr>
              <w:t>1</w:t>
            </w:r>
          </w:p>
        </w:tc>
        <w:tc>
          <w:tcPr>
            <w:tcW w:w="723" w:type="dxa"/>
            <w:tcBorders>
              <w:top w:val="nil"/>
              <w:left w:val="nil"/>
              <w:bottom w:val="single" w:sz="4" w:space="0" w:color="auto"/>
              <w:right w:val="single" w:sz="4" w:space="0" w:color="auto"/>
            </w:tcBorders>
            <w:shd w:val="clear" w:color="auto" w:fill="auto"/>
            <w:noWrap/>
            <w:vAlign w:val="bottom"/>
            <w:hideMark/>
          </w:tcPr>
          <w:p w14:paraId="3105892B" w14:textId="77777777" w:rsidR="00055BFC" w:rsidRPr="00487076" w:rsidRDefault="00055BFC" w:rsidP="00B92127">
            <w:pPr>
              <w:spacing w:line="240" w:lineRule="auto"/>
              <w:jc w:val="center"/>
              <w:rPr>
                <w:rFonts w:eastAsia="Times New Roman"/>
                <w:color w:val="000000"/>
                <w:sz w:val="18"/>
                <w:szCs w:val="18"/>
              </w:rPr>
            </w:pPr>
            <w:r>
              <w:rPr>
                <w:color w:val="000000"/>
                <w:sz w:val="18"/>
              </w:rPr>
              <w:t>1</w:t>
            </w:r>
          </w:p>
        </w:tc>
        <w:tc>
          <w:tcPr>
            <w:tcW w:w="756" w:type="dxa"/>
            <w:tcBorders>
              <w:top w:val="nil"/>
              <w:left w:val="nil"/>
              <w:bottom w:val="single" w:sz="4" w:space="0" w:color="auto"/>
              <w:right w:val="nil"/>
            </w:tcBorders>
            <w:shd w:val="clear" w:color="auto" w:fill="auto"/>
            <w:noWrap/>
            <w:vAlign w:val="bottom"/>
            <w:hideMark/>
          </w:tcPr>
          <w:p w14:paraId="3C6BF51D" w14:textId="77777777" w:rsidR="00055BFC" w:rsidRPr="00487076" w:rsidRDefault="00055BFC" w:rsidP="00B92127">
            <w:pPr>
              <w:spacing w:line="240" w:lineRule="auto"/>
              <w:jc w:val="center"/>
              <w:rPr>
                <w:rFonts w:eastAsia="Times New Roman"/>
                <w:color w:val="000000"/>
                <w:sz w:val="18"/>
                <w:szCs w:val="18"/>
              </w:rPr>
            </w:pPr>
            <w:r>
              <w:rPr>
                <w:color w:val="000000"/>
                <w:sz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4A71FBF" w14:textId="77777777" w:rsidR="00055BFC" w:rsidRPr="00487076" w:rsidRDefault="00055BFC" w:rsidP="00B92127">
            <w:pPr>
              <w:spacing w:line="240" w:lineRule="auto"/>
              <w:jc w:val="center"/>
              <w:rPr>
                <w:rFonts w:eastAsia="Times New Roman"/>
                <w:color w:val="000000"/>
                <w:sz w:val="18"/>
                <w:szCs w:val="18"/>
              </w:rPr>
            </w:pPr>
            <w:r>
              <w:rPr>
                <w:color w:val="000000"/>
                <w:sz w:val="18"/>
              </w:rPr>
              <w:t>1</w:t>
            </w:r>
          </w:p>
        </w:tc>
        <w:tc>
          <w:tcPr>
            <w:tcW w:w="810" w:type="dxa"/>
            <w:tcBorders>
              <w:top w:val="nil"/>
              <w:left w:val="nil"/>
              <w:bottom w:val="single" w:sz="4" w:space="0" w:color="auto"/>
              <w:right w:val="nil"/>
            </w:tcBorders>
            <w:shd w:val="clear" w:color="auto" w:fill="auto"/>
            <w:noWrap/>
            <w:vAlign w:val="bottom"/>
            <w:hideMark/>
          </w:tcPr>
          <w:p w14:paraId="6A799D6E" w14:textId="77777777" w:rsidR="00055BFC" w:rsidRPr="00487076" w:rsidRDefault="00055BFC" w:rsidP="00B92127">
            <w:pPr>
              <w:spacing w:line="240" w:lineRule="auto"/>
              <w:jc w:val="center"/>
              <w:rPr>
                <w:rFonts w:eastAsia="Times New Roman"/>
                <w:b/>
                <w:bCs/>
                <w:color w:val="000000"/>
                <w:sz w:val="18"/>
                <w:szCs w:val="18"/>
              </w:rPr>
            </w:pPr>
            <w:r>
              <w:rPr>
                <w:b/>
                <w:color w:val="000000"/>
                <w:sz w:val="18"/>
              </w:rPr>
              <w:t>3</w:t>
            </w:r>
          </w:p>
        </w:tc>
        <w:tc>
          <w:tcPr>
            <w:tcW w:w="810" w:type="dxa"/>
            <w:tcBorders>
              <w:top w:val="nil"/>
              <w:left w:val="nil"/>
              <w:bottom w:val="single" w:sz="4" w:space="0" w:color="auto"/>
              <w:right w:val="single" w:sz="4" w:space="0" w:color="auto"/>
            </w:tcBorders>
            <w:shd w:val="clear" w:color="auto" w:fill="auto"/>
            <w:noWrap/>
            <w:vAlign w:val="bottom"/>
            <w:hideMark/>
          </w:tcPr>
          <w:p w14:paraId="569963E5" w14:textId="77777777" w:rsidR="00055BFC" w:rsidRPr="00487076" w:rsidRDefault="00055BFC" w:rsidP="00B92127">
            <w:pPr>
              <w:spacing w:line="240" w:lineRule="auto"/>
              <w:jc w:val="center"/>
              <w:rPr>
                <w:rFonts w:eastAsia="Times New Roman"/>
                <w:b/>
                <w:bCs/>
                <w:color w:val="000000"/>
                <w:sz w:val="18"/>
                <w:szCs w:val="18"/>
              </w:rPr>
            </w:pPr>
            <w:r>
              <w:rPr>
                <w:b/>
                <w:color w:val="000000"/>
                <w:sz w:val="18"/>
              </w:rPr>
              <w:t>3</w:t>
            </w:r>
          </w:p>
        </w:tc>
      </w:tr>
      <w:tr w:rsidR="00055BFC" w:rsidRPr="00487076" w14:paraId="0E3B47B6" w14:textId="77777777" w:rsidTr="00B92127">
        <w:trPr>
          <w:trHeight w:val="26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15E47566" w14:textId="77777777" w:rsidR="00055BFC" w:rsidRPr="00487076" w:rsidRDefault="00055BFC" w:rsidP="00B92127">
            <w:pPr>
              <w:spacing w:line="240" w:lineRule="auto"/>
              <w:rPr>
                <w:rFonts w:eastAsia="Times New Roman"/>
                <w:color w:val="000000"/>
                <w:sz w:val="18"/>
                <w:szCs w:val="18"/>
              </w:rPr>
            </w:pPr>
            <w:r>
              <w:rPr>
                <w:color w:val="000000"/>
                <w:sz w:val="18"/>
              </w:rPr>
              <w:t>Вспомогательные должности — занятые</w:t>
            </w:r>
          </w:p>
        </w:tc>
        <w:tc>
          <w:tcPr>
            <w:tcW w:w="775" w:type="dxa"/>
            <w:tcBorders>
              <w:top w:val="nil"/>
              <w:left w:val="nil"/>
              <w:bottom w:val="single" w:sz="4" w:space="0" w:color="auto"/>
              <w:right w:val="nil"/>
            </w:tcBorders>
            <w:shd w:val="clear" w:color="auto" w:fill="auto"/>
            <w:noWrap/>
            <w:vAlign w:val="bottom"/>
            <w:hideMark/>
          </w:tcPr>
          <w:p w14:paraId="78788B64" w14:textId="77777777" w:rsidR="00055BFC" w:rsidRPr="00487076" w:rsidRDefault="00055BFC" w:rsidP="00B92127">
            <w:pPr>
              <w:spacing w:line="240" w:lineRule="auto"/>
              <w:jc w:val="center"/>
              <w:rPr>
                <w:rFonts w:eastAsia="Times New Roman"/>
                <w:color w:val="000000"/>
                <w:sz w:val="18"/>
                <w:szCs w:val="18"/>
              </w:rPr>
            </w:pPr>
            <w:r>
              <w:rPr>
                <w:color w:val="000000"/>
                <w:sz w:val="18"/>
              </w:rPr>
              <w:t>1</w:t>
            </w:r>
          </w:p>
        </w:tc>
        <w:tc>
          <w:tcPr>
            <w:tcW w:w="810" w:type="dxa"/>
            <w:tcBorders>
              <w:top w:val="nil"/>
              <w:left w:val="nil"/>
              <w:bottom w:val="single" w:sz="4" w:space="0" w:color="auto"/>
              <w:right w:val="single" w:sz="4" w:space="0" w:color="auto"/>
            </w:tcBorders>
            <w:shd w:val="clear" w:color="auto" w:fill="auto"/>
            <w:noWrap/>
            <w:vAlign w:val="bottom"/>
            <w:hideMark/>
          </w:tcPr>
          <w:p w14:paraId="43886427" w14:textId="77777777" w:rsidR="00055BFC" w:rsidRPr="00487076" w:rsidRDefault="00055BFC" w:rsidP="00B92127">
            <w:pPr>
              <w:spacing w:line="240" w:lineRule="auto"/>
              <w:jc w:val="center"/>
              <w:rPr>
                <w:rFonts w:eastAsia="Times New Roman"/>
                <w:color w:val="000000"/>
                <w:sz w:val="18"/>
                <w:szCs w:val="18"/>
              </w:rPr>
            </w:pPr>
            <w:r>
              <w:rPr>
                <w:color w:val="000000"/>
                <w:sz w:val="18"/>
              </w:rPr>
              <w:t>1</w:t>
            </w:r>
          </w:p>
        </w:tc>
        <w:tc>
          <w:tcPr>
            <w:tcW w:w="810" w:type="dxa"/>
            <w:tcBorders>
              <w:top w:val="nil"/>
              <w:left w:val="nil"/>
              <w:bottom w:val="single" w:sz="4" w:space="0" w:color="auto"/>
              <w:right w:val="nil"/>
            </w:tcBorders>
            <w:shd w:val="clear" w:color="auto" w:fill="auto"/>
            <w:noWrap/>
            <w:vAlign w:val="bottom"/>
            <w:hideMark/>
          </w:tcPr>
          <w:p w14:paraId="62770A80" w14:textId="77777777" w:rsidR="00055BFC" w:rsidRPr="00487076" w:rsidRDefault="00055BFC" w:rsidP="00B92127">
            <w:pPr>
              <w:spacing w:line="240" w:lineRule="auto"/>
              <w:jc w:val="center"/>
              <w:rPr>
                <w:rFonts w:eastAsia="Times New Roman"/>
                <w:color w:val="000000"/>
                <w:sz w:val="18"/>
                <w:szCs w:val="18"/>
              </w:rPr>
            </w:pPr>
            <w:r>
              <w:rPr>
                <w:color w:val="000000"/>
                <w:sz w:val="18"/>
              </w:rPr>
              <w:t>1</w:t>
            </w:r>
          </w:p>
        </w:tc>
        <w:tc>
          <w:tcPr>
            <w:tcW w:w="723" w:type="dxa"/>
            <w:tcBorders>
              <w:top w:val="nil"/>
              <w:left w:val="nil"/>
              <w:bottom w:val="single" w:sz="4" w:space="0" w:color="auto"/>
              <w:right w:val="single" w:sz="4" w:space="0" w:color="auto"/>
            </w:tcBorders>
            <w:shd w:val="clear" w:color="auto" w:fill="auto"/>
            <w:noWrap/>
            <w:vAlign w:val="bottom"/>
            <w:hideMark/>
          </w:tcPr>
          <w:p w14:paraId="0BDAC4A4" w14:textId="77777777" w:rsidR="00055BFC" w:rsidRPr="00487076" w:rsidRDefault="00055BFC" w:rsidP="00B92127">
            <w:pPr>
              <w:spacing w:line="240" w:lineRule="auto"/>
              <w:jc w:val="center"/>
              <w:rPr>
                <w:rFonts w:eastAsia="Times New Roman"/>
                <w:color w:val="000000"/>
                <w:sz w:val="18"/>
                <w:szCs w:val="18"/>
              </w:rPr>
            </w:pPr>
            <w:r>
              <w:rPr>
                <w:color w:val="000000"/>
                <w:sz w:val="18"/>
              </w:rPr>
              <w:t>1</w:t>
            </w:r>
          </w:p>
        </w:tc>
        <w:tc>
          <w:tcPr>
            <w:tcW w:w="756" w:type="dxa"/>
            <w:tcBorders>
              <w:top w:val="nil"/>
              <w:left w:val="nil"/>
              <w:bottom w:val="single" w:sz="4" w:space="0" w:color="auto"/>
              <w:right w:val="nil"/>
            </w:tcBorders>
            <w:shd w:val="clear" w:color="auto" w:fill="auto"/>
            <w:noWrap/>
            <w:vAlign w:val="bottom"/>
            <w:hideMark/>
          </w:tcPr>
          <w:p w14:paraId="62B68FE2" w14:textId="77777777" w:rsidR="00055BFC" w:rsidRPr="00487076" w:rsidRDefault="00055BFC" w:rsidP="00B92127">
            <w:pPr>
              <w:spacing w:line="240" w:lineRule="auto"/>
              <w:jc w:val="center"/>
              <w:rPr>
                <w:rFonts w:eastAsia="Times New Roman"/>
                <w:color w:val="000000"/>
                <w:sz w:val="18"/>
                <w:szCs w:val="18"/>
              </w:rPr>
            </w:pPr>
            <w:r>
              <w:rPr>
                <w:color w:val="000000"/>
                <w:sz w:val="18"/>
              </w:rPr>
              <w:t>1</w:t>
            </w:r>
          </w:p>
        </w:tc>
        <w:tc>
          <w:tcPr>
            <w:tcW w:w="720" w:type="dxa"/>
            <w:gridSpan w:val="2"/>
            <w:tcBorders>
              <w:top w:val="nil"/>
              <w:left w:val="nil"/>
              <w:bottom w:val="single" w:sz="4" w:space="0" w:color="auto"/>
              <w:right w:val="nil"/>
            </w:tcBorders>
            <w:shd w:val="clear" w:color="auto" w:fill="auto"/>
            <w:noWrap/>
            <w:vAlign w:val="bottom"/>
            <w:hideMark/>
          </w:tcPr>
          <w:p w14:paraId="10BAB5CF" w14:textId="77777777" w:rsidR="00055BFC" w:rsidRPr="00487076" w:rsidRDefault="00055BFC" w:rsidP="00B92127">
            <w:pPr>
              <w:spacing w:line="240" w:lineRule="auto"/>
              <w:jc w:val="center"/>
              <w:rPr>
                <w:rFonts w:eastAsia="Times New Roman"/>
                <w:color w:val="000000"/>
                <w:sz w:val="18"/>
                <w:szCs w:val="18"/>
              </w:rPr>
            </w:pPr>
            <w:r>
              <w:rPr>
                <w:color w:val="000000"/>
                <w:sz w:val="18"/>
              </w:rPr>
              <w:t>0</w:t>
            </w:r>
          </w:p>
        </w:tc>
        <w:tc>
          <w:tcPr>
            <w:tcW w:w="810" w:type="dxa"/>
            <w:tcBorders>
              <w:top w:val="nil"/>
              <w:left w:val="single" w:sz="4" w:space="0" w:color="auto"/>
              <w:bottom w:val="single" w:sz="4" w:space="0" w:color="auto"/>
              <w:right w:val="nil"/>
            </w:tcBorders>
            <w:shd w:val="clear" w:color="auto" w:fill="auto"/>
            <w:noWrap/>
            <w:vAlign w:val="bottom"/>
            <w:hideMark/>
          </w:tcPr>
          <w:p w14:paraId="65DD7E78" w14:textId="77777777" w:rsidR="00055BFC" w:rsidRPr="00487076" w:rsidRDefault="00055BFC" w:rsidP="00B92127">
            <w:pPr>
              <w:spacing w:line="240" w:lineRule="auto"/>
              <w:jc w:val="center"/>
              <w:rPr>
                <w:rFonts w:eastAsia="Times New Roman"/>
                <w:b/>
                <w:bCs/>
                <w:color w:val="000000"/>
                <w:sz w:val="18"/>
                <w:szCs w:val="18"/>
              </w:rPr>
            </w:pPr>
            <w:r>
              <w:rPr>
                <w:b/>
                <w:color w:val="000000"/>
                <w:sz w:val="18"/>
              </w:rPr>
              <w:t>3</w:t>
            </w:r>
          </w:p>
        </w:tc>
        <w:tc>
          <w:tcPr>
            <w:tcW w:w="810" w:type="dxa"/>
            <w:tcBorders>
              <w:top w:val="nil"/>
              <w:left w:val="nil"/>
              <w:bottom w:val="single" w:sz="4" w:space="0" w:color="auto"/>
              <w:right w:val="single" w:sz="4" w:space="0" w:color="auto"/>
            </w:tcBorders>
            <w:shd w:val="clear" w:color="auto" w:fill="auto"/>
            <w:noWrap/>
            <w:vAlign w:val="bottom"/>
            <w:hideMark/>
          </w:tcPr>
          <w:p w14:paraId="7D49AB3D" w14:textId="77777777" w:rsidR="00055BFC" w:rsidRPr="00487076" w:rsidRDefault="00055BFC" w:rsidP="00B92127">
            <w:pPr>
              <w:spacing w:line="240" w:lineRule="auto"/>
              <w:jc w:val="center"/>
              <w:rPr>
                <w:rFonts w:eastAsia="Times New Roman"/>
                <w:b/>
                <w:bCs/>
                <w:color w:val="000000"/>
                <w:sz w:val="18"/>
                <w:szCs w:val="18"/>
              </w:rPr>
            </w:pPr>
            <w:r>
              <w:rPr>
                <w:b/>
                <w:color w:val="000000"/>
                <w:sz w:val="18"/>
              </w:rPr>
              <w:t>2</w:t>
            </w:r>
          </w:p>
        </w:tc>
      </w:tr>
      <w:tr w:rsidR="00055BFC" w:rsidRPr="00487076" w14:paraId="67935AC6" w14:textId="77777777" w:rsidTr="00B92127">
        <w:trPr>
          <w:trHeight w:val="26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133AD109" w14:textId="77777777" w:rsidR="00055BFC" w:rsidRPr="00487076" w:rsidRDefault="00055BFC" w:rsidP="00B92127">
            <w:pPr>
              <w:spacing w:line="240" w:lineRule="auto"/>
              <w:rPr>
                <w:rFonts w:eastAsia="Times New Roman"/>
                <w:b/>
                <w:bCs/>
                <w:color w:val="000000"/>
                <w:sz w:val="18"/>
                <w:szCs w:val="18"/>
              </w:rPr>
            </w:pPr>
            <w:r>
              <w:rPr>
                <w:b/>
                <w:color w:val="000000"/>
                <w:sz w:val="18"/>
              </w:rPr>
              <w:t>Вакантные должности</w:t>
            </w:r>
          </w:p>
        </w:tc>
        <w:tc>
          <w:tcPr>
            <w:tcW w:w="775" w:type="dxa"/>
            <w:tcBorders>
              <w:top w:val="nil"/>
              <w:left w:val="nil"/>
              <w:bottom w:val="single" w:sz="4" w:space="0" w:color="auto"/>
              <w:right w:val="nil"/>
            </w:tcBorders>
            <w:shd w:val="clear" w:color="auto" w:fill="auto"/>
            <w:noWrap/>
            <w:vAlign w:val="bottom"/>
            <w:hideMark/>
          </w:tcPr>
          <w:p w14:paraId="5271F76C" w14:textId="77777777" w:rsidR="00055BFC" w:rsidRPr="00487076" w:rsidRDefault="00055BFC" w:rsidP="00B92127">
            <w:pPr>
              <w:spacing w:line="240" w:lineRule="auto"/>
              <w:jc w:val="center"/>
              <w:rPr>
                <w:rFonts w:eastAsia="Times New Roman"/>
                <w:b/>
                <w:bCs/>
                <w:color w:val="000000"/>
                <w:sz w:val="18"/>
                <w:szCs w:val="18"/>
              </w:rPr>
            </w:pPr>
            <w:r>
              <w:rPr>
                <w:b/>
                <w:color w:val="000000"/>
                <w:sz w:val="18"/>
              </w:rPr>
              <w:t>4</w:t>
            </w:r>
          </w:p>
        </w:tc>
        <w:tc>
          <w:tcPr>
            <w:tcW w:w="810" w:type="dxa"/>
            <w:tcBorders>
              <w:top w:val="nil"/>
              <w:left w:val="nil"/>
              <w:bottom w:val="single" w:sz="4" w:space="0" w:color="auto"/>
              <w:right w:val="single" w:sz="4" w:space="0" w:color="auto"/>
            </w:tcBorders>
            <w:shd w:val="clear" w:color="auto" w:fill="auto"/>
            <w:noWrap/>
            <w:vAlign w:val="bottom"/>
            <w:hideMark/>
          </w:tcPr>
          <w:p w14:paraId="792DCA11" w14:textId="77777777" w:rsidR="00055BFC" w:rsidRPr="00487076" w:rsidRDefault="00055BFC" w:rsidP="00B92127">
            <w:pPr>
              <w:spacing w:line="240" w:lineRule="auto"/>
              <w:jc w:val="center"/>
              <w:rPr>
                <w:rFonts w:eastAsia="Times New Roman"/>
                <w:b/>
                <w:bCs/>
                <w:color w:val="000000"/>
                <w:sz w:val="18"/>
                <w:szCs w:val="18"/>
              </w:rPr>
            </w:pPr>
            <w:r>
              <w:rPr>
                <w:b/>
                <w:color w:val="000000"/>
                <w:sz w:val="18"/>
              </w:rPr>
              <w:t>0</w:t>
            </w:r>
          </w:p>
        </w:tc>
        <w:tc>
          <w:tcPr>
            <w:tcW w:w="810" w:type="dxa"/>
            <w:tcBorders>
              <w:top w:val="nil"/>
              <w:left w:val="nil"/>
              <w:bottom w:val="single" w:sz="4" w:space="0" w:color="auto"/>
              <w:right w:val="nil"/>
            </w:tcBorders>
            <w:shd w:val="clear" w:color="auto" w:fill="auto"/>
            <w:noWrap/>
            <w:vAlign w:val="bottom"/>
            <w:hideMark/>
          </w:tcPr>
          <w:p w14:paraId="6CADD43A" w14:textId="77777777" w:rsidR="00055BFC" w:rsidRPr="00487076" w:rsidRDefault="00055BFC" w:rsidP="00B92127">
            <w:pPr>
              <w:spacing w:line="240" w:lineRule="auto"/>
              <w:jc w:val="center"/>
              <w:rPr>
                <w:rFonts w:eastAsia="Times New Roman"/>
                <w:b/>
                <w:bCs/>
                <w:color w:val="000000"/>
                <w:sz w:val="18"/>
                <w:szCs w:val="18"/>
              </w:rPr>
            </w:pPr>
            <w:r>
              <w:rPr>
                <w:b/>
                <w:color w:val="000000"/>
                <w:sz w:val="18"/>
              </w:rPr>
              <w:t>3</w:t>
            </w:r>
          </w:p>
        </w:tc>
        <w:tc>
          <w:tcPr>
            <w:tcW w:w="723" w:type="dxa"/>
            <w:tcBorders>
              <w:top w:val="nil"/>
              <w:left w:val="nil"/>
              <w:bottom w:val="single" w:sz="4" w:space="0" w:color="auto"/>
              <w:right w:val="single" w:sz="4" w:space="0" w:color="auto"/>
            </w:tcBorders>
            <w:shd w:val="clear" w:color="auto" w:fill="auto"/>
            <w:noWrap/>
            <w:vAlign w:val="bottom"/>
            <w:hideMark/>
          </w:tcPr>
          <w:p w14:paraId="63B39E31" w14:textId="77777777" w:rsidR="00055BFC" w:rsidRPr="00487076" w:rsidRDefault="00055BFC" w:rsidP="00B92127">
            <w:pPr>
              <w:spacing w:line="240" w:lineRule="auto"/>
              <w:jc w:val="center"/>
              <w:rPr>
                <w:rFonts w:eastAsia="Times New Roman"/>
                <w:b/>
                <w:bCs/>
                <w:color w:val="000000"/>
                <w:sz w:val="18"/>
                <w:szCs w:val="18"/>
              </w:rPr>
            </w:pPr>
            <w:r>
              <w:rPr>
                <w:b/>
                <w:color w:val="000000"/>
                <w:sz w:val="18"/>
              </w:rPr>
              <w:t>3</w:t>
            </w:r>
          </w:p>
        </w:tc>
        <w:tc>
          <w:tcPr>
            <w:tcW w:w="756" w:type="dxa"/>
            <w:tcBorders>
              <w:top w:val="nil"/>
              <w:left w:val="nil"/>
              <w:bottom w:val="single" w:sz="4" w:space="0" w:color="auto"/>
              <w:right w:val="nil"/>
            </w:tcBorders>
            <w:shd w:val="clear" w:color="auto" w:fill="auto"/>
            <w:noWrap/>
            <w:vAlign w:val="bottom"/>
            <w:hideMark/>
          </w:tcPr>
          <w:p w14:paraId="7CC8B801" w14:textId="77777777" w:rsidR="00055BFC" w:rsidRPr="00487076" w:rsidRDefault="00055BFC" w:rsidP="00B92127">
            <w:pPr>
              <w:spacing w:line="240" w:lineRule="auto"/>
              <w:jc w:val="center"/>
              <w:rPr>
                <w:rFonts w:eastAsia="Times New Roman"/>
                <w:b/>
                <w:bCs/>
                <w:color w:val="000000"/>
                <w:sz w:val="18"/>
                <w:szCs w:val="18"/>
              </w:rPr>
            </w:pPr>
            <w:r>
              <w:rPr>
                <w:b/>
                <w:color w:val="000000"/>
                <w:sz w:val="18"/>
              </w:rPr>
              <w:t>0</w:t>
            </w:r>
          </w:p>
        </w:tc>
        <w:tc>
          <w:tcPr>
            <w:tcW w:w="720" w:type="dxa"/>
            <w:gridSpan w:val="2"/>
            <w:tcBorders>
              <w:top w:val="nil"/>
              <w:left w:val="nil"/>
              <w:bottom w:val="single" w:sz="4" w:space="0" w:color="auto"/>
              <w:right w:val="nil"/>
            </w:tcBorders>
            <w:shd w:val="clear" w:color="auto" w:fill="auto"/>
            <w:noWrap/>
            <w:vAlign w:val="bottom"/>
            <w:hideMark/>
          </w:tcPr>
          <w:p w14:paraId="3B480862" w14:textId="77777777" w:rsidR="00055BFC" w:rsidRPr="00487076" w:rsidRDefault="00055BFC" w:rsidP="00B92127">
            <w:pPr>
              <w:spacing w:line="240" w:lineRule="auto"/>
              <w:jc w:val="center"/>
              <w:rPr>
                <w:rFonts w:eastAsia="Times New Roman"/>
                <w:b/>
                <w:bCs/>
                <w:color w:val="000000"/>
                <w:sz w:val="18"/>
                <w:szCs w:val="18"/>
              </w:rPr>
            </w:pPr>
            <w:r>
              <w:rPr>
                <w:b/>
                <w:color w:val="000000"/>
                <w:sz w:val="18"/>
              </w:rPr>
              <w:t>1</w:t>
            </w:r>
          </w:p>
        </w:tc>
        <w:tc>
          <w:tcPr>
            <w:tcW w:w="810" w:type="dxa"/>
            <w:tcBorders>
              <w:top w:val="nil"/>
              <w:left w:val="single" w:sz="4" w:space="0" w:color="auto"/>
              <w:bottom w:val="single" w:sz="4" w:space="0" w:color="auto"/>
              <w:right w:val="nil"/>
            </w:tcBorders>
            <w:shd w:val="clear" w:color="auto" w:fill="auto"/>
            <w:noWrap/>
            <w:vAlign w:val="bottom"/>
            <w:hideMark/>
          </w:tcPr>
          <w:p w14:paraId="5576618E" w14:textId="77777777" w:rsidR="00055BFC" w:rsidRPr="00487076" w:rsidRDefault="00055BFC" w:rsidP="00B92127">
            <w:pPr>
              <w:spacing w:line="240" w:lineRule="auto"/>
              <w:jc w:val="center"/>
              <w:rPr>
                <w:rFonts w:eastAsia="Times New Roman"/>
                <w:b/>
                <w:bCs/>
                <w:color w:val="000000"/>
                <w:sz w:val="18"/>
                <w:szCs w:val="18"/>
              </w:rPr>
            </w:pPr>
            <w:r>
              <w:rPr>
                <w:b/>
                <w:color w:val="000000"/>
                <w:sz w:val="18"/>
              </w:rPr>
              <w:t>7</w:t>
            </w:r>
          </w:p>
        </w:tc>
        <w:tc>
          <w:tcPr>
            <w:tcW w:w="810" w:type="dxa"/>
            <w:tcBorders>
              <w:top w:val="nil"/>
              <w:left w:val="nil"/>
              <w:bottom w:val="single" w:sz="4" w:space="0" w:color="auto"/>
              <w:right w:val="single" w:sz="4" w:space="0" w:color="auto"/>
            </w:tcBorders>
            <w:shd w:val="clear" w:color="auto" w:fill="auto"/>
            <w:noWrap/>
            <w:vAlign w:val="bottom"/>
            <w:hideMark/>
          </w:tcPr>
          <w:p w14:paraId="39896924" w14:textId="77777777" w:rsidR="00055BFC" w:rsidRPr="00487076" w:rsidRDefault="00055BFC" w:rsidP="00B92127">
            <w:pPr>
              <w:spacing w:line="240" w:lineRule="auto"/>
              <w:jc w:val="center"/>
              <w:rPr>
                <w:rFonts w:eastAsia="Times New Roman"/>
                <w:b/>
                <w:bCs/>
                <w:color w:val="000000"/>
                <w:sz w:val="18"/>
                <w:szCs w:val="18"/>
              </w:rPr>
            </w:pPr>
            <w:r>
              <w:rPr>
                <w:b/>
                <w:color w:val="000000"/>
                <w:sz w:val="18"/>
              </w:rPr>
              <w:t>4</w:t>
            </w:r>
          </w:p>
        </w:tc>
      </w:tr>
      <w:tr w:rsidR="00055BFC" w:rsidRPr="00487076" w14:paraId="61FEEC79" w14:textId="77777777" w:rsidTr="00B92127">
        <w:trPr>
          <w:trHeight w:val="26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1B0E4FD3" w14:textId="77777777" w:rsidR="00055BFC" w:rsidRPr="00487076" w:rsidRDefault="00055BFC" w:rsidP="00B92127">
            <w:pPr>
              <w:spacing w:line="240" w:lineRule="auto"/>
              <w:rPr>
                <w:rFonts w:eastAsia="Times New Roman"/>
                <w:color w:val="000000"/>
                <w:sz w:val="18"/>
                <w:szCs w:val="18"/>
              </w:rPr>
            </w:pPr>
            <w:r>
              <w:rPr>
                <w:color w:val="000000"/>
                <w:sz w:val="18"/>
              </w:rPr>
              <w:t xml:space="preserve">Бюджетные ассигнования </w:t>
            </w:r>
            <w:r>
              <w:rPr>
                <w:i/>
                <w:color w:val="000000"/>
                <w:sz w:val="18"/>
              </w:rPr>
              <w:t>(тыс. долл. США)</w:t>
            </w:r>
          </w:p>
        </w:tc>
        <w:tc>
          <w:tcPr>
            <w:tcW w:w="775" w:type="dxa"/>
            <w:tcBorders>
              <w:top w:val="nil"/>
              <w:left w:val="nil"/>
              <w:bottom w:val="single" w:sz="4" w:space="0" w:color="auto"/>
              <w:right w:val="nil"/>
            </w:tcBorders>
            <w:shd w:val="clear" w:color="auto" w:fill="auto"/>
            <w:noWrap/>
            <w:vAlign w:val="bottom"/>
            <w:hideMark/>
          </w:tcPr>
          <w:p w14:paraId="0F1908BA" w14:textId="77777777" w:rsidR="00055BFC" w:rsidRPr="00487076" w:rsidRDefault="00055BFC" w:rsidP="00B92127">
            <w:pPr>
              <w:spacing w:line="240" w:lineRule="auto"/>
              <w:jc w:val="center"/>
              <w:rPr>
                <w:rFonts w:eastAsia="Times New Roman"/>
                <w:color w:val="000000"/>
                <w:sz w:val="18"/>
                <w:szCs w:val="18"/>
              </w:rPr>
            </w:pPr>
            <w:r>
              <w:rPr>
                <w:color w:val="000000"/>
                <w:sz w:val="18"/>
              </w:rPr>
              <w:t>4995</w:t>
            </w:r>
          </w:p>
        </w:tc>
        <w:tc>
          <w:tcPr>
            <w:tcW w:w="810" w:type="dxa"/>
            <w:tcBorders>
              <w:top w:val="nil"/>
              <w:left w:val="nil"/>
              <w:bottom w:val="single" w:sz="4" w:space="0" w:color="auto"/>
              <w:right w:val="single" w:sz="4" w:space="0" w:color="auto"/>
            </w:tcBorders>
            <w:shd w:val="clear" w:color="auto" w:fill="auto"/>
            <w:noWrap/>
            <w:vAlign w:val="bottom"/>
            <w:hideMark/>
          </w:tcPr>
          <w:p w14:paraId="4E708E74" w14:textId="77777777" w:rsidR="00055BFC" w:rsidRPr="00487076" w:rsidRDefault="00055BFC" w:rsidP="00B92127">
            <w:pPr>
              <w:spacing w:line="240" w:lineRule="auto"/>
              <w:jc w:val="center"/>
              <w:rPr>
                <w:rFonts w:eastAsia="Times New Roman"/>
                <w:color w:val="000000"/>
                <w:sz w:val="18"/>
                <w:szCs w:val="18"/>
              </w:rPr>
            </w:pPr>
            <w:r>
              <w:rPr>
                <w:color w:val="000000"/>
                <w:sz w:val="18"/>
              </w:rPr>
              <w:t>5738</w:t>
            </w:r>
          </w:p>
        </w:tc>
        <w:tc>
          <w:tcPr>
            <w:tcW w:w="810" w:type="dxa"/>
            <w:tcBorders>
              <w:top w:val="nil"/>
              <w:left w:val="nil"/>
              <w:bottom w:val="single" w:sz="4" w:space="0" w:color="auto"/>
              <w:right w:val="nil"/>
            </w:tcBorders>
            <w:shd w:val="clear" w:color="auto" w:fill="auto"/>
            <w:noWrap/>
            <w:vAlign w:val="bottom"/>
            <w:hideMark/>
          </w:tcPr>
          <w:p w14:paraId="4F15CB89" w14:textId="77777777" w:rsidR="00055BFC" w:rsidRPr="00487076" w:rsidRDefault="00055BFC" w:rsidP="00B92127">
            <w:pPr>
              <w:spacing w:line="240" w:lineRule="auto"/>
              <w:jc w:val="center"/>
              <w:rPr>
                <w:rFonts w:eastAsia="Times New Roman"/>
                <w:color w:val="000000"/>
                <w:sz w:val="18"/>
                <w:szCs w:val="18"/>
              </w:rPr>
            </w:pPr>
            <w:r>
              <w:rPr>
                <w:color w:val="000000"/>
                <w:sz w:val="18"/>
              </w:rPr>
              <w:t>4797</w:t>
            </w:r>
          </w:p>
        </w:tc>
        <w:tc>
          <w:tcPr>
            <w:tcW w:w="723" w:type="dxa"/>
            <w:tcBorders>
              <w:top w:val="nil"/>
              <w:left w:val="nil"/>
              <w:bottom w:val="single" w:sz="4" w:space="0" w:color="auto"/>
              <w:right w:val="single" w:sz="4" w:space="0" w:color="auto"/>
            </w:tcBorders>
            <w:shd w:val="clear" w:color="auto" w:fill="auto"/>
            <w:noWrap/>
            <w:vAlign w:val="bottom"/>
            <w:hideMark/>
          </w:tcPr>
          <w:p w14:paraId="122E26FB" w14:textId="77777777" w:rsidR="00055BFC" w:rsidRPr="00487076" w:rsidRDefault="00055BFC" w:rsidP="00B92127">
            <w:pPr>
              <w:spacing w:line="240" w:lineRule="auto"/>
              <w:jc w:val="center"/>
              <w:rPr>
                <w:rFonts w:eastAsia="Times New Roman"/>
                <w:color w:val="000000"/>
                <w:sz w:val="18"/>
                <w:szCs w:val="18"/>
              </w:rPr>
            </w:pPr>
            <w:r>
              <w:rPr>
                <w:color w:val="000000"/>
                <w:sz w:val="18"/>
              </w:rPr>
              <w:t>5051</w:t>
            </w:r>
          </w:p>
        </w:tc>
        <w:tc>
          <w:tcPr>
            <w:tcW w:w="756" w:type="dxa"/>
            <w:tcBorders>
              <w:top w:val="nil"/>
              <w:left w:val="nil"/>
              <w:bottom w:val="single" w:sz="4" w:space="0" w:color="auto"/>
              <w:right w:val="nil"/>
            </w:tcBorders>
            <w:shd w:val="clear" w:color="auto" w:fill="auto"/>
            <w:noWrap/>
            <w:vAlign w:val="bottom"/>
            <w:hideMark/>
          </w:tcPr>
          <w:p w14:paraId="0F9A275B" w14:textId="77777777" w:rsidR="00055BFC" w:rsidRPr="00487076" w:rsidRDefault="00055BFC" w:rsidP="00B92127">
            <w:pPr>
              <w:spacing w:line="240" w:lineRule="auto"/>
              <w:jc w:val="center"/>
              <w:rPr>
                <w:rFonts w:eastAsia="Times New Roman"/>
                <w:color w:val="000000"/>
                <w:sz w:val="18"/>
                <w:szCs w:val="18"/>
              </w:rPr>
            </w:pPr>
            <w:r>
              <w:rPr>
                <w:color w:val="000000"/>
                <w:sz w:val="18"/>
              </w:rPr>
              <w:t>2222</w:t>
            </w:r>
          </w:p>
        </w:tc>
        <w:tc>
          <w:tcPr>
            <w:tcW w:w="720" w:type="dxa"/>
            <w:gridSpan w:val="2"/>
            <w:tcBorders>
              <w:top w:val="nil"/>
              <w:left w:val="nil"/>
              <w:bottom w:val="single" w:sz="4" w:space="0" w:color="auto"/>
              <w:right w:val="nil"/>
            </w:tcBorders>
            <w:shd w:val="clear" w:color="auto" w:fill="auto"/>
            <w:noWrap/>
            <w:vAlign w:val="bottom"/>
            <w:hideMark/>
          </w:tcPr>
          <w:p w14:paraId="27E47C11" w14:textId="77777777" w:rsidR="00055BFC" w:rsidRPr="00487076" w:rsidRDefault="00055BFC" w:rsidP="00B92127">
            <w:pPr>
              <w:spacing w:line="240" w:lineRule="auto"/>
              <w:jc w:val="center"/>
              <w:rPr>
                <w:rFonts w:eastAsia="Times New Roman"/>
                <w:color w:val="000000"/>
                <w:sz w:val="18"/>
                <w:szCs w:val="18"/>
              </w:rPr>
            </w:pPr>
            <w:r>
              <w:rPr>
                <w:color w:val="000000"/>
                <w:sz w:val="18"/>
              </w:rPr>
              <w:t>1825</w:t>
            </w:r>
          </w:p>
        </w:tc>
        <w:tc>
          <w:tcPr>
            <w:tcW w:w="810" w:type="dxa"/>
            <w:tcBorders>
              <w:top w:val="nil"/>
              <w:left w:val="single" w:sz="4" w:space="0" w:color="auto"/>
              <w:bottom w:val="single" w:sz="4" w:space="0" w:color="auto"/>
              <w:right w:val="nil"/>
            </w:tcBorders>
            <w:shd w:val="clear" w:color="auto" w:fill="auto"/>
            <w:noWrap/>
            <w:vAlign w:val="bottom"/>
            <w:hideMark/>
          </w:tcPr>
          <w:p w14:paraId="03785FE3" w14:textId="77777777" w:rsidR="00055BFC" w:rsidRPr="00487076" w:rsidRDefault="00055BFC" w:rsidP="00B92127">
            <w:pPr>
              <w:spacing w:line="240" w:lineRule="auto"/>
              <w:jc w:val="center"/>
              <w:rPr>
                <w:rFonts w:eastAsia="Times New Roman"/>
                <w:b/>
                <w:bCs/>
                <w:color w:val="000000"/>
                <w:sz w:val="18"/>
                <w:szCs w:val="18"/>
              </w:rPr>
            </w:pPr>
            <w:r>
              <w:rPr>
                <w:b/>
                <w:color w:val="000000"/>
                <w:sz w:val="18"/>
              </w:rPr>
              <w:t>12 014</w:t>
            </w:r>
          </w:p>
        </w:tc>
        <w:tc>
          <w:tcPr>
            <w:tcW w:w="810" w:type="dxa"/>
            <w:tcBorders>
              <w:top w:val="nil"/>
              <w:left w:val="nil"/>
              <w:bottom w:val="single" w:sz="4" w:space="0" w:color="auto"/>
              <w:right w:val="single" w:sz="4" w:space="0" w:color="auto"/>
            </w:tcBorders>
            <w:shd w:val="clear" w:color="auto" w:fill="auto"/>
            <w:noWrap/>
            <w:vAlign w:val="bottom"/>
            <w:hideMark/>
          </w:tcPr>
          <w:p w14:paraId="3C03346C" w14:textId="77777777" w:rsidR="00055BFC" w:rsidRPr="00487076" w:rsidRDefault="00055BFC" w:rsidP="00B92127">
            <w:pPr>
              <w:spacing w:line="240" w:lineRule="auto"/>
              <w:jc w:val="center"/>
              <w:rPr>
                <w:rFonts w:eastAsia="Times New Roman"/>
                <w:b/>
                <w:bCs/>
                <w:color w:val="000000"/>
                <w:sz w:val="18"/>
                <w:szCs w:val="18"/>
              </w:rPr>
            </w:pPr>
            <w:r>
              <w:rPr>
                <w:b/>
                <w:color w:val="000000"/>
                <w:sz w:val="18"/>
              </w:rPr>
              <w:t>12 614</w:t>
            </w:r>
          </w:p>
        </w:tc>
      </w:tr>
      <w:tr w:rsidR="00055BFC" w:rsidRPr="00487076" w14:paraId="3876C799" w14:textId="77777777" w:rsidTr="00B92127">
        <w:trPr>
          <w:trHeight w:val="26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0BC2C49D" w14:textId="77777777" w:rsidR="00055BFC" w:rsidRPr="00487076" w:rsidRDefault="00055BFC" w:rsidP="00B92127">
            <w:pPr>
              <w:spacing w:line="240" w:lineRule="auto"/>
              <w:rPr>
                <w:rFonts w:eastAsia="Times New Roman"/>
                <w:color w:val="000000"/>
                <w:sz w:val="18"/>
                <w:szCs w:val="18"/>
              </w:rPr>
            </w:pPr>
            <w:r>
              <w:rPr>
                <w:color w:val="000000"/>
                <w:sz w:val="18"/>
              </w:rPr>
              <w:t xml:space="preserve">Использование бюджета </w:t>
            </w:r>
            <w:r>
              <w:rPr>
                <w:i/>
                <w:color w:val="000000"/>
                <w:sz w:val="18"/>
              </w:rPr>
              <w:t>(тыс. долл. США)</w:t>
            </w:r>
          </w:p>
        </w:tc>
        <w:tc>
          <w:tcPr>
            <w:tcW w:w="775" w:type="dxa"/>
            <w:tcBorders>
              <w:top w:val="nil"/>
              <w:left w:val="nil"/>
              <w:bottom w:val="single" w:sz="4" w:space="0" w:color="auto"/>
              <w:right w:val="nil"/>
            </w:tcBorders>
            <w:shd w:val="clear" w:color="auto" w:fill="auto"/>
            <w:noWrap/>
            <w:vAlign w:val="bottom"/>
            <w:hideMark/>
          </w:tcPr>
          <w:p w14:paraId="49FD68AB" w14:textId="77777777" w:rsidR="00055BFC" w:rsidRPr="00487076" w:rsidRDefault="00055BFC" w:rsidP="00B92127">
            <w:pPr>
              <w:spacing w:line="240" w:lineRule="auto"/>
              <w:jc w:val="center"/>
              <w:rPr>
                <w:rFonts w:eastAsia="Times New Roman"/>
                <w:color w:val="000000"/>
                <w:sz w:val="18"/>
                <w:szCs w:val="18"/>
              </w:rPr>
            </w:pPr>
            <w:r>
              <w:rPr>
                <w:color w:val="000000"/>
                <w:sz w:val="18"/>
              </w:rPr>
              <w:t>4159</w:t>
            </w:r>
          </w:p>
        </w:tc>
        <w:tc>
          <w:tcPr>
            <w:tcW w:w="810" w:type="dxa"/>
            <w:tcBorders>
              <w:top w:val="nil"/>
              <w:left w:val="nil"/>
              <w:bottom w:val="single" w:sz="4" w:space="0" w:color="auto"/>
              <w:right w:val="single" w:sz="4" w:space="0" w:color="auto"/>
            </w:tcBorders>
            <w:shd w:val="clear" w:color="auto" w:fill="auto"/>
            <w:noWrap/>
            <w:vAlign w:val="bottom"/>
            <w:hideMark/>
          </w:tcPr>
          <w:p w14:paraId="19A5335A" w14:textId="77777777" w:rsidR="00055BFC" w:rsidRPr="00487076" w:rsidRDefault="00055BFC" w:rsidP="00B92127">
            <w:pPr>
              <w:spacing w:line="240" w:lineRule="auto"/>
              <w:jc w:val="center"/>
              <w:rPr>
                <w:rFonts w:eastAsia="Times New Roman"/>
                <w:color w:val="000000"/>
                <w:sz w:val="18"/>
                <w:szCs w:val="18"/>
              </w:rPr>
            </w:pPr>
            <w:r>
              <w:rPr>
                <w:color w:val="000000"/>
                <w:sz w:val="18"/>
              </w:rPr>
              <w:t>5176</w:t>
            </w:r>
          </w:p>
        </w:tc>
        <w:tc>
          <w:tcPr>
            <w:tcW w:w="810" w:type="dxa"/>
            <w:tcBorders>
              <w:top w:val="nil"/>
              <w:left w:val="nil"/>
              <w:bottom w:val="single" w:sz="4" w:space="0" w:color="auto"/>
              <w:right w:val="nil"/>
            </w:tcBorders>
            <w:shd w:val="clear" w:color="auto" w:fill="auto"/>
            <w:noWrap/>
            <w:vAlign w:val="bottom"/>
            <w:hideMark/>
          </w:tcPr>
          <w:p w14:paraId="71AFC541" w14:textId="77777777" w:rsidR="00055BFC" w:rsidRPr="00487076" w:rsidRDefault="00055BFC" w:rsidP="00B92127">
            <w:pPr>
              <w:spacing w:line="240" w:lineRule="auto"/>
              <w:jc w:val="center"/>
              <w:rPr>
                <w:rFonts w:eastAsia="Times New Roman"/>
                <w:color w:val="000000"/>
                <w:sz w:val="18"/>
                <w:szCs w:val="18"/>
              </w:rPr>
            </w:pPr>
            <w:r>
              <w:rPr>
                <w:color w:val="000000"/>
                <w:sz w:val="18"/>
              </w:rPr>
              <w:t>3713</w:t>
            </w:r>
          </w:p>
        </w:tc>
        <w:tc>
          <w:tcPr>
            <w:tcW w:w="723" w:type="dxa"/>
            <w:tcBorders>
              <w:top w:val="nil"/>
              <w:left w:val="nil"/>
              <w:bottom w:val="single" w:sz="4" w:space="0" w:color="auto"/>
              <w:right w:val="single" w:sz="4" w:space="0" w:color="auto"/>
            </w:tcBorders>
            <w:shd w:val="clear" w:color="auto" w:fill="auto"/>
            <w:noWrap/>
            <w:vAlign w:val="bottom"/>
            <w:hideMark/>
          </w:tcPr>
          <w:p w14:paraId="7F2F4C57" w14:textId="77777777" w:rsidR="00055BFC" w:rsidRPr="00487076" w:rsidRDefault="00055BFC" w:rsidP="00B92127">
            <w:pPr>
              <w:spacing w:line="240" w:lineRule="auto"/>
              <w:jc w:val="center"/>
              <w:rPr>
                <w:rFonts w:eastAsia="Times New Roman"/>
                <w:color w:val="000000"/>
                <w:sz w:val="18"/>
                <w:szCs w:val="18"/>
              </w:rPr>
            </w:pPr>
            <w:r>
              <w:rPr>
                <w:color w:val="000000"/>
                <w:sz w:val="18"/>
              </w:rPr>
              <w:t>4473</w:t>
            </w:r>
          </w:p>
        </w:tc>
        <w:tc>
          <w:tcPr>
            <w:tcW w:w="756" w:type="dxa"/>
            <w:tcBorders>
              <w:top w:val="nil"/>
              <w:left w:val="nil"/>
              <w:bottom w:val="single" w:sz="4" w:space="0" w:color="auto"/>
              <w:right w:val="nil"/>
            </w:tcBorders>
            <w:shd w:val="clear" w:color="auto" w:fill="auto"/>
            <w:noWrap/>
            <w:vAlign w:val="bottom"/>
            <w:hideMark/>
          </w:tcPr>
          <w:p w14:paraId="54909E04" w14:textId="77777777" w:rsidR="00055BFC" w:rsidRPr="00487076" w:rsidRDefault="00055BFC" w:rsidP="00B92127">
            <w:pPr>
              <w:spacing w:line="240" w:lineRule="auto"/>
              <w:jc w:val="center"/>
              <w:rPr>
                <w:rFonts w:eastAsia="Times New Roman"/>
                <w:color w:val="000000"/>
                <w:sz w:val="18"/>
                <w:szCs w:val="18"/>
              </w:rPr>
            </w:pPr>
            <w:r>
              <w:rPr>
                <w:color w:val="000000"/>
                <w:sz w:val="18"/>
              </w:rPr>
              <w:t>1469</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B0AD565" w14:textId="77777777" w:rsidR="00055BFC" w:rsidRPr="00487076" w:rsidRDefault="00055BFC" w:rsidP="00B92127">
            <w:pPr>
              <w:spacing w:line="240" w:lineRule="auto"/>
              <w:jc w:val="center"/>
              <w:rPr>
                <w:rFonts w:eastAsia="Times New Roman"/>
                <w:color w:val="000000"/>
                <w:sz w:val="18"/>
                <w:szCs w:val="18"/>
              </w:rPr>
            </w:pPr>
            <w:r>
              <w:rPr>
                <w:color w:val="000000"/>
                <w:sz w:val="18"/>
              </w:rPr>
              <w:t>1381</w:t>
            </w:r>
          </w:p>
        </w:tc>
        <w:tc>
          <w:tcPr>
            <w:tcW w:w="810" w:type="dxa"/>
            <w:tcBorders>
              <w:top w:val="nil"/>
              <w:left w:val="nil"/>
              <w:bottom w:val="single" w:sz="4" w:space="0" w:color="auto"/>
              <w:right w:val="nil"/>
            </w:tcBorders>
            <w:shd w:val="clear" w:color="auto" w:fill="auto"/>
            <w:noWrap/>
            <w:vAlign w:val="bottom"/>
            <w:hideMark/>
          </w:tcPr>
          <w:p w14:paraId="79A96AA4" w14:textId="77777777" w:rsidR="00055BFC" w:rsidRPr="00487076" w:rsidRDefault="00055BFC" w:rsidP="00B92127">
            <w:pPr>
              <w:spacing w:line="240" w:lineRule="auto"/>
              <w:jc w:val="center"/>
              <w:rPr>
                <w:rFonts w:eastAsia="Times New Roman"/>
                <w:b/>
                <w:bCs/>
                <w:color w:val="000000"/>
                <w:sz w:val="18"/>
                <w:szCs w:val="18"/>
              </w:rPr>
            </w:pPr>
            <w:r>
              <w:rPr>
                <w:b/>
                <w:color w:val="000000"/>
                <w:sz w:val="18"/>
              </w:rPr>
              <w:t>9341</w:t>
            </w:r>
          </w:p>
        </w:tc>
        <w:tc>
          <w:tcPr>
            <w:tcW w:w="810" w:type="dxa"/>
            <w:tcBorders>
              <w:top w:val="nil"/>
              <w:left w:val="nil"/>
              <w:bottom w:val="single" w:sz="4" w:space="0" w:color="auto"/>
              <w:right w:val="single" w:sz="4" w:space="0" w:color="auto"/>
            </w:tcBorders>
            <w:shd w:val="clear" w:color="auto" w:fill="auto"/>
            <w:noWrap/>
            <w:vAlign w:val="bottom"/>
            <w:hideMark/>
          </w:tcPr>
          <w:p w14:paraId="736D0571" w14:textId="77777777" w:rsidR="00055BFC" w:rsidRPr="00487076" w:rsidRDefault="00055BFC" w:rsidP="00B92127">
            <w:pPr>
              <w:spacing w:line="240" w:lineRule="auto"/>
              <w:jc w:val="center"/>
              <w:rPr>
                <w:rFonts w:eastAsia="Times New Roman"/>
                <w:b/>
                <w:bCs/>
                <w:color w:val="000000"/>
                <w:sz w:val="18"/>
                <w:szCs w:val="18"/>
              </w:rPr>
            </w:pPr>
            <w:r>
              <w:rPr>
                <w:b/>
                <w:color w:val="000000"/>
                <w:sz w:val="18"/>
              </w:rPr>
              <w:t>11 030</w:t>
            </w:r>
          </w:p>
        </w:tc>
      </w:tr>
      <w:tr w:rsidR="00055BFC" w:rsidRPr="00487076" w14:paraId="00F1B7A7" w14:textId="77777777" w:rsidTr="00B92127">
        <w:trPr>
          <w:trHeight w:val="263"/>
        </w:trPr>
        <w:tc>
          <w:tcPr>
            <w:tcW w:w="3005" w:type="dxa"/>
            <w:tcBorders>
              <w:top w:val="single" w:sz="4" w:space="0" w:color="auto"/>
              <w:left w:val="single" w:sz="4" w:space="0" w:color="auto"/>
              <w:bottom w:val="single" w:sz="4" w:space="0" w:color="auto"/>
              <w:right w:val="nil"/>
            </w:tcBorders>
            <w:shd w:val="clear" w:color="auto" w:fill="auto"/>
            <w:noWrap/>
            <w:vAlign w:val="bottom"/>
            <w:hideMark/>
          </w:tcPr>
          <w:p w14:paraId="3FD402B0" w14:textId="77777777" w:rsidR="00055BFC" w:rsidRPr="00487076" w:rsidRDefault="00055BFC" w:rsidP="00B92127">
            <w:pPr>
              <w:spacing w:line="240" w:lineRule="auto"/>
              <w:rPr>
                <w:rFonts w:eastAsia="Times New Roman"/>
                <w:b/>
                <w:bCs/>
                <w:color w:val="000000"/>
                <w:sz w:val="18"/>
                <w:szCs w:val="18"/>
              </w:rPr>
            </w:pPr>
            <w:r>
              <w:rPr>
                <w:b/>
                <w:color w:val="000000"/>
                <w:sz w:val="18"/>
              </w:rPr>
              <w:t>Остаток бюджета</w:t>
            </w:r>
            <w:r>
              <w:rPr>
                <w:color w:val="000000"/>
                <w:sz w:val="18"/>
              </w:rPr>
              <w:t xml:space="preserve"> </w:t>
            </w:r>
            <w:r>
              <w:rPr>
                <w:i/>
                <w:color w:val="000000"/>
                <w:sz w:val="18"/>
              </w:rPr>
              <w:t>(тыс. долл. США)</w:t>
            </w:r>
          </w:p>
        </w:tc>
        <w:tc>
          <w:tcPr>
            <w:tcW w:w="775" w:type="dxa"/>
            <w:tcBorders>
              <w:top w:val="single" w:sz="4" w:space="0" w:color="auto"/>
              <w:left w:val="single" w:sz="4" w:space="0" w:color="auto"/>
              <w:bottom w:val="single" w:sz="4" w:space="0" w:color="auto"/>
              <w:right w:val="nil"/>
            </w:tcBorders>
            <w:shd w:val="clear" w:color="auto" w:fill="auto"/>
            <w:noWrap/>
            <w:vAlign w:val="bottom"/>
            <w:hideMark/>
          </w:tcPr>
          <w:p w14:paraId="4377E611" w14:textId="77777777" w:rsidR="00055BFC" w:rsidRPr="00487076" w:rsidRDefault="00055BFC" w:rsidP="00B92127">
            <w:pPr>
              <w:spacing w:line="240" w:lineRule="auto"/>
              <w:jc w:val="center"/>
              <w:rPr>
                <w:rFonts w:eastAsia="Times New Roman"/>
                <w:b/>
                <w:bCs/>
                <w:color w:val="000000"/>
                <w:sz w:val="18"/>
                <w:szCs w:val="18"/>
              </w:rPr>
            </w:pPr>
            <w:r>
              <w:rPr>
                <w:b/>
                <w:color w:val="000000"/>
                <w:sz w:val="18"/>
              </w:rPr>
              <w:t>836</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69C1E2A1" w14:textId="77777777" w:rsidR="00055BFC" w:rsidRPr="00487076" w:rsidRDefault="00055BFC" w:rsidP="00B92127">
            <w:pPr>
              <w:spacing w:line="240" w:lineRule="auto"/>
              <w:jc w:val="center"/>
              <w:rPr>
                <w:rFonts w:eastAsia="Times New Roman"/>
                <w:b/>
                <w:bCs/>
                <w:color w:val="000000"/>
                <w:sz w:val="18"/>
                <w:szCs w:val="18"/>
              </w:rPr>
            </w:pPr>
            <w:r>
              <w:rPr>
                <w:b/>
                <w:color w:val="000000"/>
                <w:sz w:val="18"/>
              </w:rPr>
              <w:t xml:space="preserve"> 562</w:t>
            </w:r>
          </w:p>
        </w:tc>
        <w:tc>
          <w:tcPr>
            <w:tcW w:w="810" w:type="dxa"/>
            <w:tcBorders>
              <w:top w:val="single" w:sz="4" w:space="0" w:color="auto"/>
              <w:left w:val="nil"/>
              <w:bottom w:val="single" w:sz="4" w:space="0" w:color="auto"/>
              <w:right w:val="nil"/>
            </w:tcBorders>
            <w:shd w:val="clear" w:color="auto" w:fill="auto"/>
            <w:noWrap/>
            <w:vAlign w:val="bottom"/>
            <w:hideMark/>
          </w:tcPr>
          <w:p w14:paraId="4E202D21" w14:textId="77777777" w:rsidR="00055BFC" w:rsidRPr="00487076" w:rsidRDefault="00055BFC" w:rsidP="00B92127">
            <w:pPr>
              <w:spacing w:line="240" w:lineRule="auto"/>
              <w:jc w:val="center"/>
              <w:rPr>
                <w:rFonts w:eastAsia="Times New Roman"/>
                <w:b/>
                <w:bCs/>
                <w:color w:val="000000"/>
                <w:sz w:val="18"/>
                <w:szCs w:val="18"/>
              </w:rPr>
            </w:pPr>
            <w:r>
              <w:rPr>
                <w:b/>
                <w:color w:val="000000"/>
                <w:sz w:val="18"/>
              </w:rPr>
              <w:t>1084</w:t>
            </w:r>
          </w:p>
        </w:tc>
        <w:tc>
          <w:tcPr>
            <w:tcW w:w="723" w:type="dxa"/>
            <w:tcBorders>
              <w:top w:val="single" w:sz="4" w:space="0" w:color="auto"/>
              <w:left w:val="nil"/>
              <w:bottom w:val="single" w:sz="4" w:space="0" w:color="auto"/>
              <w:right w:val="single" w:sz="4" w:space="0" w:color="auto"/>
            </w:tcBorders>
            <w:shd w:val="clear" w:color="auto" w:fill="auto"/>
            <w:noWrap/>
            <w:vAlign w:val="bottom"/>
            <w:hideMark/>
          </w:tcPr>
          <w:p w14:paraId="43702161" w14:textId="77777777" w:rsidR="00055BFC" w:rsidRPr="00487076" w:rsidRDefault="00055BFC" w:rsidP="00B92127">
            <w:pPr>
              <w:spacing w:line="240" w:lineRule="auto"/>
              <w:jc w:val="center"/>
              <w:rPr>
                <w:rFonts w:eastAsia="Times New Roman"/>
                <w:b/>
                <w:bCs/>
                <w:color w:val="000000"/>
                <w:sz w:val="18"/>
                <w:szCs w:val="18"/>
              </w:rPr>
            </w:pPr>
            <w:r>
              <w:rPr>
                <w:b/>
                <w:color w:val="000000"/>
                <w:sz w:val="18"/>
              </w:rPr>
              <w:t>578</w:t>
            </w:r>
          </w:p>
        </w:tc>
        <w:tc>
          <w:tcPr>
            <w:tcW w:w="756" w:type="dxa"/>
            <w:tcBorders>
              <w:top w:val="single" w:sz="4" w:space="0" w:color="auto"/>
              <w:left w:val="nil"/>
              <w:bottom w:val="single" w:sz="4" w:space="0" w:color="auto"/>
              <w:right w:val="nil"/>
            </w:tcBorders>
            <w:shd w:val="clear" w:color="auto" w:fill="auto"/>
            <w:noWrap/>
            <w:vAlign w:val="bottom"/>
            <w:hideMark/>
          </w:tcPr>
          <w:p w14:paraId="3FBD70A3" w14:textId="77777777" w:rsidR="00055BFC" w:rsidRPr="00487076" w:rsidRDefault="00055BFC" w:rsidP="00B92127">
            <w:pPr>
              <w:spacing w:line="240" w:lineRule="auto"/>
              <w:jc w:val="center"/>
              <w:rPr>
                <w:rFonts w:eastAsia="Times New Roman"/>
                <w:b/>
                <w:bCs/>
                <w:color w:val="000000"/>
                <w:sz w:val="18"/>
                <w:szCs w:val="18"/>
              </w:rPr>
            </w:pPr>
            <w:r>
              <w:rPr>
                <w:b/>
                <w:color w:val="000000"/>
                <w:sz w:val="18"/>
              </w:rPr>
              <w:t>753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96F45B" w14:textId="77777777" w:rsidR="00055BFC" w:rsidRPr="00487076" w:rsidRDefault="00055BFC" w:rsidP="00B92127">
            <w:pPr>
              <w:spacing w:line="240" w:lineRule="auto"/>
              <w:jc w:val="center"/>
              <w:rPr>
                <w:rFonts w:eastAsia="Times New Roman"/>
                <w:b/>
                <w:bCs/>
                <w:color w:val="000000"/>
                <w:sz w:val="18"/>
                <w:szCs w:val="18"/>
              </w:rPr>
            </w:pPr>
            <w:r>
              <w:rPr>
                <w:b/>
                <w:color w:val="000000"/>
                <w:sz w:val="18"/>
              </w:rPr>
              <w:t>444</w:t>
            </w:r>
          </w:p>
        </w:tc>
        <w:tc>
          <w:tcPr>
            <w:tcW w:w="810" w:type="dxa"/>
            <w:tcBorders>
              <w:top w:val="single" w:sz="4" w:space="0" w:color="auto"/>
              <w:left w:val="nil"/>
              <w:bottom w:val="single" w:sz="4" w:space="0" w:color="auto"/>
              <w:right w:val="nil"/>
            </w:tcBorders>
            <w:shd w:val="clear" w:color="auto" w:fill="auto"/>
            <w:noWrap/>
            <w:vAlign w:val="bottom"/>
            <w:hideMark/>
          </w:tcPr>
          <w:p w14:paraId="77292A69" w14:textId="77777777" w:rsidR="00055BFC" w:rsidRPr="00487076" w:rsidRDefault="00055BFC" w:rsidP="00B92127">
            <w:pPr>
              <w:spacing w:line="240" w:lineRule="auto"/>
              <w:jc w:val="center"/>
              <w:rPr>
                <w:rFonts w:eastAsia="Times New Roman"/>
                <w:b/>
                <w:bCs/>
                <w:color w:val="000000"/>
                <w:sz w:val="18"/>
                <w:szCs w:val="18"/>
              </w:rPr>
            </w:pPr>
            <w:r>
              <w:rPr>
                <w:b/>
                <w:color w:val="000000"/>
                <w:sz w:val="18"/>
              </w:rPr>
              <w:t>2673</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014CF8CE" w14:textId="77777777" w:rsidR="00055BFC" w:rsidRPr="00487076" w:rsidRDefault="00055BFC" w:rsidP="00B92127">
            <w:pPr>
              <w:spacing w:line="240" w:lineRule="auto"/>
              <w:jc w:val="center"/>
              <w:rPr>
                <w:rFonts w:eastAsia="Times New Roman"/>
                <w:b/>
                <w:bCs/>
                <w:color w:val="000000"/>
                <w:sz w:val="18"/>
                <w:szCs w:val="18"/>
              </w:rPr>
            </w:pPr>
            <w:r>
              <w:rPr>
                <w:b/>
                <w:color w:val="000000"/>
                <w:sz w:val="18"/>
              </w:rPr>
              <w:t>1584</w:t>
            </w:r>
          </w:p>
        </w:tc>
      </w:tr>
      <w:tr w:rsidR="00055BFC" w:rsidRPr="00487076" w14:paraId="14ACF871" w14:textId="77777777" w:rsidTr="00B92127">
        <w:trPr>
          <w:trHeight w:val="432"/>
        </w:trPr>
        <w:tc>
          <w:tcPr>
            <w:tcW w:w="9219" w:type="dxa"/>
            <w:gridSpan w:val="10"/>
            <w:tcBorders>
              <w:top w:val="single" w:sz="4" w:space="0" w:color="auto"/>
            </w:tcBorders>
            <w:shd w:val="clear" w:color="auto" w:fill="auto"/>
            <w:noWrap/>
            <w:vAlign w:val="bottom"/>
          </w:tcPr>
          <w:p w14:paraId="541F39B7" w14:textId="77777777" w:rsidR="00055BFC" w:rsidRPr="00182D04" w:rsidRDefault="00055BFC" w:rsidP="00B92127">
            <w:pPr>
              <w:spacing w:line="240" w:lineRule="auto"/>
              <w:rPr>
                <w:bCs/>
                <w:color w:val="000000"/>
                <w:sz w:val="17"/>
                <w:szCs w:val="17"/>
              </w:rPr>
            </w:pPr>
            <w:r w:rsidRPr="000A0F6E">
              <w:rPr>
                <w:color w:val="000000"/>
                <w:sz w:val="17"/>
                <w:vertAlign w:val="superscript"/>
              </w:rPr>
              <w:t>*</w:t>
            </w:r>
            <w:r>
              <w:rPr>
                <w:color w:val="000000"/>
                <w:sz w:val="17"/>
                <w:vertAlign w:val="superscript"/>
              </w:rPr>
              <w:t xml:space="preserve"> </w:t>
            </w:r>
            <w:r w:rsidRPr="00182D04">
              <w:rPr>
                <w:color w:val="000000"/>
                <w:sz w:val="17"/>
              </w:rPr>
              <w:t>Примечание: данные за 2024 год могут быть не окончательными, так как они зависят от закрытия счетов.</w:t>
            </w:r>
          </w:p>
          <w:p w14:paraId="4CF601B9" w14:textId="77777777" w:rsidR="00055BFC" w:rsidRPr="00487076" w:rsidRDefault="00055BFC" w:rsidP="00B92127">
            <w:pPr>
              <w:spacing w:line="240" w:lineRule="auto"/>
              <w:rPr>
                <w:rFonts w:eastAsia="Times New Roman"/>
                <w:color w:val="000000"/>
                <w:sz w:val="18"/>
                <w:szCs w:val="18"/>
              </w:rPr>
            </w:pPr>
          </w:p>
        </w:tc>
      </w:tr>
    </w:tbl>
    <w:p w14:paraId="4AC3BF8C" w14:textId="77777777" w:rsidR="00055BFC" w:rsidRPr="00487076" w:rsidRDefault="00055BFC" w:rsidP="00055BFC">
      <w:pPr>
        <w:pStyle w:val="Para1"/>
        <w:numPr>
          <w:ilvl w:val="0"/>
          <w:numId w:val="0"/>
        </w:numPr>
        <w:ind w:left="720" w:hanging="11"/>
      </w:pPr>
      <w:r w:rsidRPr="00487076">
        <w:t>17.</w:t>
      </w:r>
      <w:r w:rsidRPr="00487076">
        <w:tab/>
      </w:r>
      <w:r>
        <w:t>Бюджет УАР на 2024 год для поддержки его деятельности составляет 12,6 млн долл. США (12,0 млн долл. США в 2023 году) — обе цифры включают инвестиции ЮНФПА в УАР в размере 2,7 млн долл. США, перенесенные из неизрасходованных остатков бюджетных средств в 2022 году.</w:t>
      </w:r>
    </w:p>
    <w:p w14:paraId="5298360D" w14:textId="77777777" w:rsidR="00055BFC" w:rsidRPr="00487076" w:rsidRDefault="00055BFC" w:rsidP="00055BFC">
      <w:pPr>
        <w:pStyle w:val="Para1"/>
        <w:numPr>
          <w:ilvl w:val="0"/>
          <w:numId w:val="0"/>
        </w:numPr>
        <w:ind w:left="720" w:hanging="11"/>
      </w:pPr>
      <w:r w:rsidRPr="00487076">
        <w:t>18.</w:t>
      </w:r>
      <w:r w:rsidRPr="00487076">
        <w:tab/>
      </w:r>
      <w:r>
        <w:t>Неизрасходованные остатки бюджетных средств были использованы для создания 11 временных должностей, которые оставались вакантными по состоянию на 31 декабря 2024 года, при этом процессы набора персонала продолжались.</w:t>
      </w:r>
    </w:p>
    <w:p w14:paraId="345E628C" w14:textId="77777777" w:rsidR="00055BFC" w:rsidRPr="00487076" w:rsidRDefault="00055BFC" w:rsidP="00055BFC">
      <w:pPr>
        <w:pStyle w:val="Para1"/>
        <w:numPr>
          <w:ilvl w:val="0"/>
          <w:numId w:val="0"/>
        </w:numPr>
        <w:ind w:left="720" w:hanging="11"/>
      </w:pPr>
      <w:r w:rsidRPr="00487076">
        <w:t>19.</w:t>
      </w:r>
      <w:r w:rsidRPr="00487076">
        <w:tab/>
      </w:r>
      <w:r>
        <w:t>В рамках корпоративного организационного мероприятия по планированию на случай значительного и продолжительного снижения ресурсов, УАР приняло активное участие в рассмотрении неблагоприятного сценария доходов с целью выработки мер, направленных на достижение экономии в размере до 4 608 252 долл. США на период 2025–2029 годов. УАР определило ряд должностей, подлежащих упразднению, а также сократило расходы на командировки и использование услуг консультантов. Однако руководство не согласилось с большинством предложенных УАР сокращений бюджета ввиду важности выполняемого мандата и приняло лишь некоторые рекомендации, оцененные как несущие низкий риск.</w:t>
      </w:r>
    </w:p>
    <w:p w14:paraId="23F755D3" w14:textId="77777777" w:rsidR="00055BFC" w:rsidRPr="00487076" w:rsidRDefault="00055BFC" w:rsidP="00055BFC">
      <w:pPr>
        <w:pStyle w:val="HeadI"/>
        <w:numPr>
          <w:ilvl w:val="0"/>
          <w:numId w:val="0"/>
        </w:numPr>
        <w:ind w:left="720" w:hanging="294"/>
      </w:pPr>
      <w:bookmarkStart w:id="16" w:name="_Toc131444617"/>
      <w:bookmarkStart w:id="17" w:name="_Toc131447852"/>
      <w:bookmarkStart w:id="18" w:name="_Toc131453702"/>
      <w:bookmarkStart w:id="19" w:name="_Toc131453779"/>
      <w:bookmarkStart w:id="20" w:name="_Toc131444618"/>
      <w:bookmarkStart w:id="21" w:name="_Toc131447853"/>
      <w:bookmarkStart w:id="22" w:name="_Toc131453703"/>
      <w:bookmarkStart w:id="23" w:name="_Toc131453780"/>
      <w:bookmarkStart w:id="24" w:name="_Toc130927408"/>
      <w:bookmarkStart w:id="25" w:name="_Toc196833155"/>
      <w:bookmarkEnd w:id="16"/>
      <w:bookmarkEnd w:id="17"/>
      <w:bookmarkEnd w:id="18"/>
      <w:bookmarkEnd w:id="19"/>
      <w:bookmarkEnd w:id="20"/>
      <w:bookmarkEnd w:id="21"/>
      <w:bookmarkEnd w:id="22"/>
      <w:bookmarkEnd w:id="23"/>
      <w:bookmarkEnd w:id="24"/>
      <w:r w:rsidRPr="00487076">
        <w:rPr>
          <w:sz w:val="24"/>
          <w:szCs w:val="24"/>
        </w:rPr>
        <w:t>VI.</w:t>
      </w:r>
      <w:r w:rsidRPr="00487076">
        <w:rPr>
          <w:sz w:val="24"/>
          <w:szCs w:val="24"/>
        </w:rPr>
        <w:tab/>
      </w:r>
      <w:r>
        <w:t>Выполнение плана аудита на 2024 год с учетом рисков</w:t>
      </w:r>
      <w:bookmarkEnd w:id="25"/>
    </w:p>
    <w:p w14:paraId="62A445A2" w14:textId="77777777" w:rsidR="00055BFC" w:rsidRPr="00487076" w:rsidRDefault="00055BFC" w:rsidP="00055BFC">
      <w:pPr>
        <w:pStyle w:val="Para1"/>
        <w:numPr>
          <w:ilvl w:val="0"/>
          <w:numId w:val="0"/>
        </w:numPr>
        <w:ind w:left="720" w:hanging="11"/>
      </w:pPr>
      <w:r w:rsidRPr="00487076">
        <w:t>20.</w:t>
      </w:r>
      <w:r w:rsidRPr="00487076">
        <w:tab/>
      </w:r>
      <w:r>
        <w:t>УАР осуществляет свою деятельность по обеспечению гарантий в соответствии с планом аудита, который основан на документированной оценке рисков, связанных с аудиторской системой ЮНФПА. План аудита рассматривается Консультативным комитетом по надзору (ККН), который рекомендует его для утверждения директором-исполнителем. Риск оценивается по комплексу показателей, отражающих потенциальные последствия и вероятность событий, способных негативно повлиять на достижение целей оцениваемых оперативных подразделений, процессов и систем.</w:t>
      </w:r>
    </w:p>
    <w:p w14:paraId="53104AB7" w14:textId="77777777" w:rsidR="00055BFC" w:rsidRPr="00487076" w:rsidRDefault="00055BFC" w:rsidP="00055BFC">
      <w:pPr>
        <w:pStyle w:val="Para1"/>
        <w:numPr>
          <w:ilvl w:val="0"/>
          <w:numId w:val="0"/>
        </w:numPr>
        <w:ind w:left="720" w:hanging="11"/>
      </w:pPr>
      <w:r w:rsidRPr="00487076">
        <w:t>21.</w:t>
      </w:r>
      <w:r w:rsidRPr="00487076">
        <w:tab/>
      </w:r>
      <w:r>
        <w:t>План аудита на 2024 год включал 32 задачи, в том числе две задачи, перенесенные с 2023 года или предыдущих лет, и 30 новых задач.</w:t>
      </w:r>
    </w:p>
    <w:p w14:paraId="330F39C7" w14:textId="77777777" w:rsidR="00055BFC" w:rsidRPr="00487076" w:rsidRDefault="00055BFC" w:rsidP="00055BFC">
      <w:pPr>
        <w:pStyle w:val="Para1"/>
        <w:numPr>
          <w:ilvl w:val="0"/>
          <w:numId w:val="0"/>
        </w:numPr>
        <w:ind w:left="720" w:hanging="11"/>
      </w:pPr>
      <w:r w:rsidRPr="00487076">
        <w:t>22.</w:t>
      </w:r>
      <w:r w:rsidRPr="00487076">
        <w:tab/>
      </w:r>
      <w:r>
        <w:t xml:space="preserve">Из двух задач, перенесенных с 2023 года и предыдущих лет, одна — совместный аудит с ПРООН и структурой «ООН-женщины» — была завершена, а итоговый отчет об аудите был опубликован в 2024 году. Другая задача — аудит бизнес-процессов — по состоянию на 31 декабря 2024 года находилась на стадии подготовки отчета. </w:t>
      </w:r>
    </w:p>
    <w:p w14:paraId="6A286553" w14:textId="77777777" w:rsidR="00055BFC" w:rsidRPr="00487076" w:rsidRDefault="00055BFC" w:rsidP="00055BFC">
      <w:pPr>
        <w:pStyle w:val="Para1"/>
        <w:numPr>
          <w:ilvl w:val="0"/>
          <w:numId w:val="0"/>
        </w:numPr>
        <w:ind w:left="720" w:hanging="11"/>
      </w:pPr>
      <w:r w:rsidRPr="00487076">
        <w:t>23.</w:t>
      </w:r>
      <w:r w:rsidRPr="00487076">
        <w:tab/>
      </w:r>
      <w:r>
        <w:t>По состоянию на 31 декабря 2024 года статус 30 новых задач, запланированных на 2024 год, был следующим: (</w:t>
      </w:r>
      <w:r>
        <w:rPr>
          <w:lang w:val="en-US"/>
        </w:rPr>
        <w:t>a</w:t>
      </w:r>
      <w:r>
        <w:t>) 23 задачи были выполнены, и соответствующие отчеты были опубликованы в течение года; (</w:t>
      </w:r>
      <w:r>
        <w:rPr>
          <w:lang w:val="en-US"/>
        </w:rPr>
        <w:t>b</w:t>
      </w:r>
      <w:r>
        <w:t>) шесть задач были выполнены, и соответствующие отчеты были опубликованы в первом квартале 2025 года; и (</w:t>
      </w:r>
      <w:r>
        <w:rPr>
          <w:lang w:val="en-US"/>
        </w:rPr>
        <w:t>c</w:t>
      </w:r>
      <w:r>
        <w:t>) задача по аудиту процессов была перенесена с 2024 на 2025 год в связи с запланированным визитом Комиссии ревизоров Организации Объединенных Наций в проверяемое подразделение в 2024 году.</w:t>
      </w:r>
    </w:p>
    <w:p w14:paraId="2AC41FC8" w14:textId="77777777" w:rsidR="00055BFC" w:rsidRPr="00487076" w:rsidRDefault="00055BFC" w:rsidP="00055BFC">
      <w:pPr>
        <w:pStyle w:val="Para1"/>
        <w:numPr>
          <w:ilvl w:val="0"/>
          <w:numId w:val="0"/>
        </w:numPr>
        <w:ind w:left="720" w:hanging="11"/>
      </w:pPr>
      <w:r w:rsidRPr="00487076">
        <w:t>24.</w:t>
      </w:r>
      <w:r w:rsidRPr="00487076">
        <w:tab/>
      </w:r>
      <w:r>
        <w:t xml:space="preserve">В 2024 году УАР опубликовало 28 аудиторских отчетов и один консультативный отчет. Количество опубликованных отчетов увеличилось на 5 по сравнению с 24 отчетами, опубликованными в 2023 году, и составило в общей сложности 29, благодаря продолжающейся рационализации процессов аудита УАР и всестороннему обновлению руководства по аудиту и стандартных операционных процедур. 29 отчетов — это рекордный показатель для аудиторских отчетов, выпущенных УАР за год. Для сравнения, УАР выпустило 10 отчетов в 2021 году и 9 отчетов в 2022 году. </w:t>
      </w:r>
    </w:p>
    <w:p w14:paraId="41041472" w14:textId="77777777" w:rsidR="00055BFC" w:rsidRPr="00487076" w:rsidRDefault="00055BFC" w:rsidP="00055BFC">
      <w:pPr>
        <w:pStyle w:val="Para1"/>
        <w:numPr>
          <w:ilvl w:val="0"/>
          <w:numId w:val="0"/>
        </w:numPr>
        <w:ind w:left="720" w:hanging="11"/>
      </w:pPr>
      <w:r w:rsidRPr="00487076">
        <w:t>25.</w:t>
      </w:r>
      <w:r w:rsidRPr="00487076">
        <w:tab/>
      </w:r>
      <w:r>
        <w:t>Результаты плана аудита на основе оценки рисков на 2024 год и статус его выполнения представлены в таблице 2.</w:t>
      </w:r>
    </w:p>
    <w:p w14:paraId="54913C9E" w14:textId="77777777" w:rsidR="00055BFC" w:rsidRPr="00487076" w:rsidRDefault="00055BFC" w:rsidP="00055BFC">
      <w:pPr>
        <w:pStyle w:val="Figure"/>
      </w:pPr>
      <w:bookmarkStart w:id="26" w:name="_heading=h.2et92p0"/>
      <w:bookmarkEnd w:id="26"/>
      <w:r>
        <w:t>Таблица 2. Статус выполнения плана аудита на 2024 год</w:t>
      </w:r>
    </w:p>
    <w:tbl>
      <w:tblPr>
        <w:tblpPr w:leftFromText="180" w:rightFromText="180" w:vertAnchor="text" w:tblpX="-3" w:tblpY="1"/>
        <w:tblOverlap w:val="never"/>
        <w:tblW w:w="99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Look w:val="04A0" w:firstRow="1" w:lastRow="0" w:firstColumn="1" w:lastColumn="0" w:noHBand="0" w:noVBand="1"/>
      </w:tblPr>
      <w:tblGrid>
        <w:gridCol w:w="1795"/>
        <w:gridCol w:w="723"/>
        <w:gridCol w:w="2067"/>
        <w:gridCol w:w="5402"/>
      </w:tblGrid>
      <w:tr w:rsidR="00055BFC" w:rsidRPr="00487076" w14:paraId="7A88CF7B" w14:textId="77777777" w:rsidTr="00B92127">
        <w:trPr>
          <w:trHeight w:val="343"/>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62CF661E" w14:textId="77777777" w:rsidR="00055BFC" w:rsidRPr="00487076" w:rsidRDefault="00055BFC" w:rsidP="00B92127">
            <w:pPr>
              <w:spacing w:line="240" w:lineRule="auto"/>
              <w:rPr>
                <w:b/>
                <w:sz w:val="18"/>
                <w:szCs w:val="18"/>
              </w:rPr>
            </w:pPr>
            <w:r>
              <w:rPr>
                <w:b/>
                <w:sz w:val="18"/>
              </w:rPr>
              <w:t>Тип задания</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498D7C3E" w14:textId="77777777" w:rsidR="00055BFC" w:rsidRPr="00487076" w:rsidRDefault="00055BFC" w:rsidP="00B92127">
            <w:pPr>
              <w:spacing w:line="240" w:lineRule="auto"/>
              <w:rPr>
                <w:b/>
                <w:sz w:val="18"/>
                <w:szCs w:val="18"/>
              </w:rPr>
            </w:pPr>
            <w:r>
              <w:rPr>
                <w:b/>
                <w:sz w:val="18"/>
              </w:rPr>
              <w:t>Кол-во</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14:paraId="53E42D37" w14:textId="77777777" w:rsidR="00055BFC" w:rsidRPr="00487076" w:rsidRDefault="00055BFC" w:rsidP="00B92127">
            <w:pPr>
              <w:spacing w:line="240" w:lineRule="auto"/>
              <w:rPr>
                <w:b/>
                <w:sz w:val="18"/>
                <w:szCs w:val="18"/>
              </w:rPr>
            </w:pPr>
            <w:r>
              <w:rPr>
                <w:b/>
                <w:sz w:val="18"/>
              </w:rPr>
              <w:t>Вовлечение</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73A776E3" w14:textId="77777777" w:rsidR="00055BFC" w:rsidRPr="00487076" w:rsidRDefault="00055BFC" w:rsidP="00B92127">
            <w:pPr>
              <w:spacing w:line="240" w:lineRule="auto"/>
              <w:rPr>
                <w:b/>
                <w:sz w:val="18"/>
                <w:szCs w:val="18"/>
              </w:rPr>
            </w:pPr>
            <w:r>
              <w:rPr>
                <w:b/>
                <w:sz w:val="18"/>
              </w:rPr>
              <w:t xml:space="preserve">Статус </w:t>
            </w:r>
            <w:r>
              <w:rPr>
                <w:sz w:val="18"/>
              </w:rPr>
              <w:t>(по состоянию на 17 марта 2025 года)</w:t>
            </w:r>
          </w:p>
        </w:tc>
      </w:tr>
      <w:tr w:rsidR="00055BFC" w:rsidRPr="00487076" w14:paraId="48D4C012" w14:textId="77777777" w:rsidTr="00B92127">
        <w:trPr>
          <w:trHeight w:val="343"/>
        </w:trPr>
        <w:tc>
          <w:tcPr>
            <w:tcW w:w="99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8CACF9" w14:textId="77777777" w:rsidR="00055BFC" w:rsidRPr="00487076" w:rsidRDefault="00055BFC" w:rsidP="00B92127">
            <w:pPr>
              <w:spacing w:line="240" w:lineRule="auto"/>
              <w:rPr>
                <w:b/>
                <w:sz w:val="18"/>
                <w:szCs w:val="18"/>
              </w:rPr>
            </w:pPr>
            <w:r>
              <w:rPr>
                <w:b/>
                <w:sz w:val="18"/>
              </w:rPr>
              <w:t>ЗАДАЧИ, РАБОТА НАД КОТОРЫМИ БЫЛА НАЧАТА В 2022 ГОДУ И ДОЛЖНА БЫТЬ ЗАВЕРШЕНА В 2024 ГОДУ</w:t>
            </w:r>
          </w:p>
        </w:tc>
      </w:tr>
      <w:tr w:rsidR="00055BFC" w:rsidRPr="00487076" w14:paraId="180C788D" w14:textId="77777777" w:rsidTr="00B92127">
        <w:trPr>
          <w:trHeight w:val="337"/>
        </w:trPr>
        <w:tc>
          <w:tcPr>
            <w:tcW w:w="1795" w:type="dxa"/>
            <w:shd w:val="clear" w:color="auto" w:fill="FFFFFF"/>
            <w:vAlign w:val="center"/>
          </w:tcPr>
          <w:p w14:paraId="24D956DF" w14:textId="77777777" w:rsidR="00055BFC" w:rsidRPr="00487076" w:rsidRDefault="00055BFC" w:rsidP="00B92127">
            <w:pPr>
              <w:spacing w:line="240" w:lineRule="auto"/>
              <w:rPr>
                <w:b/>
                <w:i/>
                <w:iCs/>
                <w:sz w:val="18"/>
                <w:szCs w:val="18"/>
              </w:rPr>
            </w:pPr>
            <w:r>
              <w:rPr>
                <w:b/>
                <w:i/>
                <w:sz w:val="18"/>
              </w:rPr>
              <w:t>Бизнес-процесс</w:t>
            </w:r>
          </w:p>
        </w:tc>
        <w:tc>
          <w:tcPr>
            <w:tcW w:w="723" w:type="dxa"/>
            <w:shd w:val="clear" w:color="auto" w:fill="FFFFFF"/>
            <w:vAlign w:val="center"/>
          </w:tcPr>
          <w:p w14:paraId="40E664CE" w14:textId="77777777" w:rsidR="00055BFC" w:rsidRPr="00487076" w:rsidRDefault="00055BFC" w:rsidP="00B92127">
            <w:pPr>
              <w:spacing w:line="240" w:lineRule="auto"/>
              <w:rPr>
                <w:bCs/>
                <w:sz w:val="18"/>
                <w:szCs w:val="18"/>
              </w:rPr>
            </w:pPr>
            <w:r>
              <w:rPr>
                <w:sz w:val="18"/>
              </w:rPr>
              <w:t>1</w:t>
            </w:r>
          </w:p>
        </w:tc>
        <w:tc>
          <w:tcPr>
            <w:tcW w:w="2067" w:type="dxa"/>
            <w:shd w:val="clear" w:color="auto" w:fill="FFFFFF"/>
          </w:tcPr>
          <w:p w14:paraId="61B60ABA" w14:textId="77777777" w:rsidR="00055BFC" w:rsidRPr="00487076" w:rsidRDefault="00055BFC" w:rsidP="00B92127">
            <w:pPr>
              <w:spacing w:line="240" w:lineRule="auto"/>
              <w:rPr>
                <w:bCs/>
                <w:sz w:val="18"/>
                <w:szCs w:val="18"/>
              </w:rPr>
            </w:pPr>
            <w:r>
              <w:rPr>
                <w:sz w:val="18"/>
              </w:rPr>
              <w:t>Процесс управления рисками мошенничества</w:t>
            </w:r>
          </w:p>
        </w:tc>
        <w:tc>
          <w:tcPr>
            <w:tcW w:w="5400" w:type="dxa"/>
            <w:shd w:val="clear" w:color="auto" w:fill="FFFFFF"/>
          </w:tcPr>
          <w:p w14:paraId="1FC65DE2" w14:textId="77777777" w:rsidR="00055BFC" w:rsidRPr="00487076" w:rsidRDefault="00055BFC" w:rsidP="00B92127">
            <w:pPr>
              <w:spacing w:line="240" w:lineRule="auto"/>
              <w:rPr>
                <w:bCs/>
                <w:sz w:val="18"/>
                <w:szCs w:val="18"/>
              </w:rPr>
            </w:pPr>
            <w:r>
              <w:rPr>
                <w:sz w:val="18"/>
              </w:rPr>
              <w:t>Проект отчета находится на стадии проверки качества.</w:t>
            </w:r>
          </w:p>
        </w:tc>
      </w:tr>
      <w:tr w:rsidR="00055BFC" w:rsidRPr="00487076" w14:paraId="77B10A98" w14:textId="77777777" w:rsidTr="00B92127">
        <w:trPr>
          <w:trHeight w:val="337"/>
        </w:trPr>
        <w:tc>
          <w:tcPr>
            <w:tcW w:w="1795" w:type="dxa"/>
            <w:tcBorders>
              <w:bottom w:val="single" w:sz="2" w:space="0" w:color="auto"/>
            </w:tcBorders>
            <w:shd w:val="clear" w:color="auto" w:fill="auto"/>
            <w:vAlign w:val="center"/>
          </w:tcPr>
          <w:p w14:paraId="31797DB5" w14:textId="77777777" w:rsidR="00055BFC" w:rsidRPr="00487076" w:rsidRDefault="00055BFC" w:rsidP="00B92127">
            <w:pPr>
              <w:spacing w:line="240" w:lineRule="auto"/>
              <w:rPr>
                <w:b/>
                <w:i/>
                <w:iCs/>
                <w:sz w:val="18"/>
                <w:szCs w:val="18"/>
              </w:rPr>
            </w:pPr>
            <w:r>
              <w:rPr>
                <w:b/>
                <w:i/>
                <w:sz w:val="18"/>
              </w:rPr>
              <w:t>ПОДЫТОГ</w:t>
            </w:r>
          </w:p>
        </w:tc>
        <w:tc>
          <w:tcPr>
            <w:tcW w:w="723" w:type="dxa"/>
            <w:tcBorders>
              <w:bottom w:val="single" w:sz="2" w:space="0" w:color="auto"/>
            </w:tcBorders>
            <w:shd w:val="clear" w:color="auto" w:fill="auto"/>
            <w:vAlign w:val="center"/>
          </w:tcPr>
          <w:p w14:paraId="1CD86358" w14:textId="77777777" w:rsidR="00055BFC" w:rsidRPr="00487076" w:rsidRDefault="00055BFC" w:rsidP="00B92127">
            <w:pPr>
              <w:spacing w:line="240" w:lineRule="auto"/>
              <w:rPr>
                <w:b/>
                <w:sz w:val="18"/>
                <w:szCs w:val="18"/>
              </w:rPr>
            </w:pPr>
            <w:r>
              <w:rPr>
                <w:b/>
                <w:sz w:val="18"/>
              </w:rPr>
              <w:t>1</w:t>
            </w:r>
          </w:p>
        </w:tc>
        <w:tc>
          <w:tcPr>
            <w:tcW w:w="2067" w:type="dxa"/>
            <w:tcBorders>
              <w:bottom w:val="single" w:sz="2" w:space="0" w:color="auto"/>
            </w:tcBorders>
            <w:shd w:val="clear" w:color="auto" w:fill="auto"/>
            <w:vAlign w:val="center"/>
          </w:tcPr>
          <w:p w14:paraId="3467F199" w14:textId="77777777" w:rsidR="00055BFC" w:rsidRPr="00487076" w:rsidRDefault="00055BFC" w:rsidP="00B92127">
            <w:pPr>
              <w:spacing w:line="240" w:lineRule="auto"/>
              <w:rPr>
                <w:bCs/>
                <w:sz w:val="18"/>
                <w:szCs w:val="18"/>
              </w:rPr>
            </w:pPr>
          </w:p>
        </w:tc>
        <w:tc>
          <w:tcPr>
            <w:tcW w:w="5400" w:type="dxa"/>
            <w:tcBorders>
              <w:bottom w:val="single" w:sz="2" w:space="0" w:color="auto"/>
            </w:tcBorders>
            <w:shd w:val="clear" w:color="auto" w:fill="auto"/>
            <w:vAlign w:val="center"/>
          </w:tcPr>
          <w:p w14:paraId="12AC5121" w14:textId="77777777" w:rsidR="00055BFC" w:rsidRPr="00487076" w:rsidRDefault="00055BFC" w:rsidP="00B92127">
            <w:pPr>
              <w:spacing w:line="240" w:lineRule="auto"/>
              <w:rPr>
                <w:bCs/>
                <w:sz w:val="18"/>
                <w:szCs w:val="18"/>
              </w:rPr>
            </w:pPr>
          </w:p>
        </w:tc>
      </w:tr>
      <w:tr w:rsidR="00055BFC" w:rsidRPr="00487076" w14:paraId="696578DC" w14:textId="77777777" w:rsidTr="00B92127">
        <w:trPr>
          <w:trHeight w:val="337"/>
        </w:trPr>
        <w:tc>
          <w:tcPr>
            <w:tcW w:w="9985" w:type="dxa"/>
            <w:gridSpan w:val="4"/>
            <w:tcBorders>
              <w:bottom w:val="single" w:sz="2" w:space="0" w:color="auto"/>
            </w:tcBorders>
            <w:shd w:val="clear" w:color="auto" w:fill="F2F2F2" w:themeFill="background1" w:themeFillShade="F2"/>
            <w:vAlign w:val="center"/>
          </w:tcPr>
          <w:p w14:paraId="5DF05E7B" w14:textId="77777777" w:rsidR="00055BFC" w:rsidRPr="00487076" w:rsidRDefault="00055BFC" w:rsidP="00B92127">
            <w:pPr>
              <w:spacing w:line="240" w:lineRule="auto"/>
              <w:rPr>
                <w:bCs/>
                <w:sz w:val="18"/>
                <w:szCs w:val="18"/>
              </w:rPr>
            </w:pPr>
            <w:r>
              <w:rPr>
                <w:b/>
                <w:sz w:val="18"/>
              </w:rPr>
              <w:t>ЗАДАЧИ, РАБОТА НАД КОТОРЫМИ БЫЛА НАЧАТА В 2023 ГОДУ И ДОЛЖНА БЫТЬ ЗАВЕРШЕНА В 2024 ГОДУ</w:t>
            </w:r>
          </w:p>
        </w:tc>
      </w:tr>
      <w:tr w:rsidR="00055BFC" w:rsidRPr="00487076" w14:paraId="07EB09EA" w14:textId="77777777" w:rsidTr="00B92127">
        <w:trPr>
          <w:trHeight w:val="337"/>
        </w:trPr>
        <w:tc>
          <w:tcPr>
            <w:tcW w:w="1795" w:type="dxa"/>
            <w:shd w:val="clear" w:color="auto" w:fill="auto"/>
            <w:vAlign w:val="center"/>
          </w:tcPr>
          <w:p w14:paraId="74DA8A80" w14:textId="77777777" w:rsidR="00055BFC" w:rsidRPr="00487076" w:rsidRDefault="00055BFC" w:rsidP="00B92127">
            <w:pPr>
              <w:spacing w:line="240" w:lineRule="auto"/>
              <w:rPr>
                <w:b/>
                <w:i/>
                <w:iCs/>
                <w:sz w:val="18"/>
                <w:szCs w:val="18"/>
              </w:rPr>
            </w:pPr>
            <w:r>
              <w:rPr>
                <w:b/>
                <w:i/>
                <w:sz w:val="18"/>
              </w:rPr>
              <w:t>Бизнес-процесс</w:t>
            </w:r>
          </w:p>
        </w:tc>
        <w:tc>
          <w:tcPr>
            <w:tcW w:w="723" w:type="dxa"/>
            <w:shd w:val="clear" w:color="auto" w:fill="auto"/>
            <w:vAlign w:val="center"/>
          </w:tcPr>
          <w:p w14:paraId="7F0056FE" w14:textId="77777777" w:rsidR="00055BFC" w:rsidRPr="00487076" w:rsidRDefault="00055BFC" w:rsidP="00B92127">
            <w:pPr>
              <w:spacing w:line="240" w:lineRule="auto"/>
              <w:rPr>
                <w:b/>
                <w:sz w:val="18"/>
                <w:szCs w:val="18"/>
              </w:rPr>
            </w:pPr>
            <w:r>
              <w:rPr>
                <w:sz w:val="18"/>
              </w:rPr>
              <w:t>1</w:t>
            </w:r>
          </w:p>
        </w:tc>
        <w:tc>
          <w:tcPr>
            <w:tcW w:w="2067" w:type="dxa"/>
            <w:shd w:val="clear" w:color="auto" w:fill="auto"/>
          </w:tcPr>
          <w:p w14:paraId="4B165046" w14:textId="77777777" w:rsidR="00055BFC" w:rsidRPr="00487076" w:rsidRDefault="00055BFC" w:rsidP="00B92127">
            <w:pPr>
              <w:spacing w:line="240" w:lineRule="auto"/>
              <w:rPr>
                <w:bCs/>
                <w:sz w:val="18"/>
                <w:szCs w:val="18"/>
              </w:rPr>
            </w:pPr>
            <w:r>
              <w:rPr>
                <w:sz w:val="18"/>
              </w:rPr>
              <w:t>ERP Quantum (совместный аудит с ПРООН и структурой «ООН-женщины»)</w:t>
            </w:r>
          </w:p>
        </w:tc>
        <w:tc>
          <w:tcPr>
            <w:tcW w:w="5400" w:type="dxa"/>
            <w:shd w:val="clear" w:color="auto" w:fill="auto"/>
          </w:tcPr>
          <w:p w14:paraId="32126CF7" w14:textId="77777777" w:rsidR="00055BFC" w:rsidRPr="00487076" w:rsidRDefault="00055BFC" w:rsidP="00B92127">
            <w:pPr>
              <w:spacing w:line="240" w:lineRule="auto"/>
              <w:rPr>
                <w:bCs/>
                <w:sz w:val="18"/>
                <w:szCs w:val="18"/>
              </w:rPr>
            </w:pPr>
            <w:r>
              <w:rPr>
                <w:sz w:val="18"/>
              </w:rPr>
              <w:t>Отчет № 26 опубликован в декабре 2024 года.</w:t>
            </w:r>
          </w:p>
        </w:tc>
      </w:tr>
      <w:tr w:rsidR="00055BFC" w:rsidRPr="00487076" w14:paraId="308939B9" w14:textId="77777777" w:rsidTr="00B92127">
        <w:trPr>
          <w:trHeight w:val="337"/>
        </w:trPr>
        <w:tc>
          <w:tcPr>
            <w:tcW w:w="1795" w:type="dxa"/>
            <w:shd w:val="clear" w:color="auto" w:fill="auto"/>
            <w:vAlign w:val="center"/>
          </w:tcPr>
          <w:p w14:paraId="5EE802BD" w14:textId="77777777" w:rsidR="00055BFC" w:rsidRPr="00487076" w:rsidRDefault="00055BFC" w:rsidP="00B92127">
            <w:pPr>
              <w:spacing w:line="240" w:lineRule="auto"/>
              <w:rPr>
                <w:b/>
                <w:i/>
                <w:iCs/>
                <w:sz w:val="18"/>
                <w:szCs w:val="18"/>
              </w:rPr>
            </w:pPr>
            <w:r>
              <w:rPr>
                <w:b/>
                <w:i/>
                <w:sz w:val="18"/>
              </w:rPr>
              <w:t>ПОДЫТОГ</w:t>
            </w:r>
          </w:p>
        </w:tc>
        <w:tc>
          <w:tcPr>
            <w:tcW w:w="723" w:type="dxa"/>
            <w:shd w:val="clear" w:color="auto" w:fill="auto"/>
            <w:vAlign w:val="center"/>
          </w:tcPr>
          <w:p w14:paraId="05BDF75D" w14:textId="77777777" w:rsidR="00055BFC" w:rsidRPr="00487076" w:rsidRDefault="00055BFC" w:rsidP="00B92127">
            <w:pPr>
              <w:spacing w:line="240" w:lineRule="auto"/>
              <w:rPr>
                <w:b/>
                <w:sz w:val="18"/>
                <w:szCs w:val="18"/>
              </w:rPr>
            </w:pPr>
            <w:r>
              <w:rPr>
                <w:b/>
                <w:sz w:val="18"/>
              </w:rPr>
              <w:t>1</w:t>
            </w:r>
          </w:p>
        </w:tc>
        <w:tc>
          <w:tcPr>
            <w:tcW w:w="2067" w:type="dxa"/>
            <w:shd w:val="clear" w:color="auto" w:fill="auto"/>
            <w:vAlign w:val="center"/>
          </w:tcPr>
          <w:p w14:paraId="63C75112" w14:textId="77777777" w:rsidR="00055BFC" w:rsidRPr="00487076" w:rsidRDefault="00055BFC" w:rsidP="00B92127">
            <w:pPr>
              <w:spacing w:line="240" w:lineRule="auto"/>
              <w:rPr>
                <w:bCs/>
                <w:sz w:val="18"/>
                <w:szCs w:val="18"/>
              </w:rPr>
            </w:pPr>
          </w:p>
        </w:tc>
        <w:tc>
          <w:tcPr>
            <w:tcW w:w="5400" w:type="dxa"/>
            <w:shd w:val="clear" w:color="auto" w:fill="auto"/>
            <w:vAlign w:val="center"/>
          </w:tcPr>
          <w:p w14:paraId="707E18C5" w14:textId="77777777" w:rsidR="00055BFC" w:rsidRPr="00487076" w:rsidRDefault="00055BFC" w:rsidP="00B92127">
            <w:pPr>
              <w:spacing w:line="240" w:lineRule="auto"/>
              <w:rPr>
                <w:bCs/>
                <w:sz w:val="18"/>
                <w:szCs w:val="18"/>
              </w:rPr>
            </w:pPr>
          </w:p>
        </w:tc>
      </w:tr>
      <w:tr w:rsidR="00055BFC" w:rsidRPr="00487076" w14:paraId="70540752" w14:textId="77777777" w:rsidTr="00B92127">
        <w:trPr>
          <w:trHeight w:val="337"/>
        </w:trPr>
        <w:tc>
          <w:tcPr>
            <w:tcW w:w="9987" w:type="dxa"/>
            <w:gridSpan w:val="4"/>
            <w:shd w:val="clear" w:color="auto" w:fill="F2F2F2" w:themeFill="background1" w:themeFillShade="F2"/>
            <w:vAlign w:val="center"/>
          </w:tcPr>
          <w:p w14:paraId="1B78474D" w14:textId="77777777" w:rsidR="00055BFC" w:rsidRPr="00487076" w:rsidRDefault="00055BFC" w:rsidP="00B92127">
            <w:pPr>
              <w:spacing w:line="240" w:lineRule="auto"/>
              <w:rPr>
                <w:b/>
                <w:sz w:val="18"/>
                <w:szCs w:val="18"/>
              </w:rPr>
            </w:pPr>
            <w:r>
              <w:rPr>
                <w:b/>
                <w:sz w:val="18"/>
              </w:rPr>
              <w:t xml:space="preserve">ЗАДАЧИ, РАБОТА НАД КОТОРЫМИ НАЧАТА И ЗАВЕРШЕНА В 2024 ГОДУ </w:t>
            </w:r>
          </w:p>
        </w:tc>
      </w:tr>
      <w:tr w:rsidR="00055BFC" w:rsidRPr="00487076" w14:paraId="47D4A013" w14:textId="77777777" w:rsidTr="00B92127">
        <w:trPr>
          <w:trHeight w:val="337"/>
        </w:trPr>
        <w:tc>
          <w:tcPr>
            <w:tcW w:w="1795" w:type="dxa"/>
            <w:vMerge w:val="restart"/>
            <w:shd w:val="clear" w:color="auto" w:fill="auto"/>
            <w:vAlign w:val="center"/>
          </w:tcPr>
          <w:p w14:paraId="62A9D763" w14:textId="77777777" w:rsidR="00055BFC" w:rsidRPr="00487076" w:rsidRDefault="00055BFC" w:rsidP="00B92127">
            <w:pPr>
              <w:spacing w:line="240" w:lineRule="auto"/>
              <w:rPr>
                <w:b/>
                <w:i/>
                <w:sz w:val="18"/>
                <w:szCs w:val="18"/>
              </w:rPr>
            </w:pPr>
            <w:r>
              <w:rPr>
                <w:b/>
                <w:i/>
                <w:sz w:val="18"/>
              </w:rPr>
              <w:t>Корпоративные и бизнес-процессы</w:t>
            </w:r>
          </w:p>
        </w:tc>
        <w:tc>
          <w:tcPr>
            <w:tcW w:w="723" w:type="dxa"/>
            <w:vMerge w:val="restart"/>
            <w:shd w:val="clear" w:color="auto" w:fill="auto"/>
            <w:vAlign w:val="center"/>
          </w:tcPr>
          <w:p w14:paraId="28B8E1E2" w14:textId="77777777" w:rsidR="00055BFC" w:rsidRPr="00487076" w:rsidRDefault="00055BFC" w:rsidP="00B92127">
            <w:pPr>
              <w:spacing w:line="240" w:lineRule="auto"/>
              <w:rPr>
                <w:b/>
                <w:sz w:val="18"/>
                <w:szCs w:val="18"/>
              </w:rPr>
            </w:pPr>
            <w:r>
              <w:rPr>
                <w:b/>
                <w:sz w:val="18"/>
              </w:rPr>
              <w:t>6</w:t>
            </w:r>
          </w:p>
        </w:tc>
        <w:tc>
          <w:tcPr>
            <w:tcW w:w="2067" w:type="dxa"/>
            <w:shd w:val="clear" w:color="auto" w:fill="auto"/>
            <w:vAlign w:val="center"/>
          </w:tcPr>
          <w:p w14:paraId="57BE6AAD" w14:textId="77777777" w:rsidR="00055BFC" w:rsidRPr="00487076" w:rsidRDefault="00055BFC" w:rsidP="00B92127">
            <w:pPr>
              <w:spacing w:line="240" w:lineRule="auto"/>
              <w:rPr>
                <w:bCs/>
                <w:sz w:val="18"/>
                <w:szCs w:val="18"/>
              </w:rPr>
            </w:pPr>
            <w:r>
              <w:rPr>
                <w:sz w:val="18"/>
              </w:rPr>
              <w:t>Управление непрерывностью деятельности ЮНФПА</w:t>
            </w:r>
          </w:p>
        </w:tc>
        <w:tc>
          <w:tcPr>
            <w:tcW w:w="5402" w:type="dxa"/>
            <w:shd w:val="clear" w:color="auto" w:fill="auto"/>
            <w:vAlign w:val="center"/>
          </w:tcPr>
          <w:p w14:paraId="3F0F44F1" w14:textId="77777777" w:rsidR="00055BFC" w:rsidRPr="00487076" w:rsidRDefault="00055BFC" w:rsidP="00B92127">
            <w:pPr>
              <w:spacing w:line="240" w:lineRule="auto"/>
              <w:rPr>
                <w:bCs/>
                <w:sz w:val="18"/>
                <w:szCs w:val="18"/>
              </w:rPr>
            </w:pPr>
            <w:r>
              <w:rPr>
                <w:sz w:val="18"/>
              </w:rPr>
              <w:t>Отчет № 23 опубликован в декабре 2024 года.</w:t>
            </w:r>
          </w:p>
        </w:tc>
      </w:tr>
      <w:tr w:rsidR="00055BFC" w:rsidRPr="00487076" w14:paraId="38C299B6" w14:textId="77777777" w:rsidTr="00B92127">
        <w:trPr>
          <w:trHeight w:val="337"/>
        </w:trPr>
        <w:tc>
          <w:tcPr>
            <w:tcW w:w="1795" w:type="dxa"/>
            <w:vMerge/>
            <w:shd w:val="clear" w:color="auto" w:fill="auto"/>
            <w:vAlign w:val="center"/>
          </w:tcPr>
          <w:p w14:paraId="430DE087" w14:textId="77777777" w:rsidR="00055BFC" w:rsidRPr="00487076" w:rsidRDefault="00055BFC" w:rsidP="00B92127">
            <w:pPr>
              <w:spacing w:line="240" w:lineRule="auto"/>
              <w:rPr>
                <w:b/>
                <w:i/>
                <w:sz w:val="18"/>
                <w:szCs w:val="18"/>
              </w:rPr>
            </w:pPr>
          </w:p>
        </w:tc>
        <w:tc>
          <w:tcPr>
            <w:tcW w:w="723" w:type="dxa"/>
            <w:vMerge/>
            <w:shd w:val="clear" w:color="auto" w:fill="auto"/>
            <w:vAlign w:val="center"/>
          </w:tcPr>
          <w:p w14:paraId="066B7CE7" w14:textId="77777777" w:rsidR="00055BFC" w:rsidRPr="00487076" w:rsidRDefault="00055BFC" w:rsidP="00B92127">
            <w:pPr>
              <w:spacing w:line="240" w:lineRule="auto"/>
              <w:rPr>
                <w:b/>
                <w:sz w:val="18"/>
                <w:szCs w:val="18"/>
              </w:rPr>
            </w:pPr>
          </w:p>
        </w:tc>
        <w:tc>
          <w:tcPr>
            <w:tcW w:w="2067" w:type="dxa"/>
            <w:shd w:val="clear" w:color="auto" w:fill="auto"/>
            <w:vAlign w:val="center"/>
          </w:tcPr>
          <w:p w14:paraId="64A365EF" w14:textId="77777777" w:rsidR="00055BFC" w:rsidRPr="00487076" w:rsidRDefault="00055BFC" w:rsidP="00B92127">
            <w:pPr>
              <w:spacing w:line="240" w:lineRule="auto"/>
              <w:rPr>
                <w:bCs/>
                <w:sz w:val="18"/>
                <w:szCs w:val="18"/>
              </w:rPr>
            </w:pPr>
            <w:r>
              <w:rPr>
                <w:sz w:val="18"/>
              </w:rPr>
              <w:t>Практика и процессы управления информационной безопасностью</w:t>
            </w:r>
          </w:p>
        </w:tc>
        <w:tc>
          <w:tcPr>
            <w:tcW w:w="5402" w:type="dxa"/>
            <w:shd w:val="clear" w:color="auto" w:fill="auto"/>
            <w:vAlign w:val="center"/>
          </w:tcPr>
          <w:p w14:paraId="6B8A6E9E" w14:textId="77777777" w:rsidR="00055BFC" w:rsidRPr="00487076" w:rsidRDefault="00055BFC" w:rsidP="00B92127">
            <w:pPr>
              <w:spacing w:line="240" w:lineRule="auto"/>
              <w:rPr>
                <w:bCs/>
                <w:sz w:val="18"/>
                <w:szCs w:val="18"/>
              </w:rPr>
            </w:pPr>
            <w:r>
              <w:rPr>
                <w:sz w:val="18"/>
              </w:rPr>
              <w:t>Отчет № 27 опубликован в декабре 2024 года.</w:t>
            </w:r>
          </w:p>
        </w:tc>
      </w:tr>
      <w:tr w:rsidR="00055BFC" w:rsidRPr="00487076" w14:paraId="5844DA4B" w14:textId="77777777" w:rsidTr="00B92127">
        <w:trPr>
          <w:trHeight w:val="337"/>
        </w:trPr>
        <w:tc>
          <w:tcPr>
            <w:tcW w:w="1795" w:type="dxa"/>
            <w:vMerge/>
            <w:shd w:val="clear" w:color="auto" w:fill="auto"/>
            <w:vAlign w:val="center"/>
          </w:tcPr>
          <w:p w14:paraId="1C8FADC4" w14:textId="77777777" w:rsidR="00055BFC" w:rsidRPr="00487076" w:rsidRDefault="00055BFC" w:rsidP="00B92127">
            <w:pPr>
              <w:spacing w:line="240" w:lineRule="auto"/>
              <w:rPr>
                <w:b/>
                <w:i/>
                <w:sz w:val="18"/>
                <w:szCs w:val="18"/>
              </w:rPr>
            </w:pPr>
          </w:p>
        </w:tc>
        <w:tc>
          <w:tcPr>
            <w:tcW w:w="723" w:type="dxa"/>
            <w:vMerge/>
            <w:shd w:val="clear" w:color="auto" w:fill="auto"/>
            <w:vAlign w:val="center"/>
          </w:tcPr>
          <w:p w14:paraId="4F09F917" w14:textId="77777777" w:rsidR="00055BFC" w:rsidRPr="00487076" w:rsidRDefault="00055BFC" w:rsidP="00B92127">
            <w:pPr>
              <w:spacing w:line="240" w:lineRule="auto"/>
              <w:rPr>
                <w:b/>
                <w:sz w:val="18"/>
                <w:szCs w:val="18"/>
              </w:rPr>
            </w:pPr>
          </w:p>
        </w:tc>
        <w:tc>
          <w:tcPr>
            <w:tcW w:w="2067" w:type="dxa"/>
            <w:shd w:val="clear" w:color="auto" w:fill="auto"/>
            <w:vAlign w:val="center"/>
          </w:tcPr>
          <w:p w14:paraId="4CA5CCBC" w14:textId="77777777" w:rsidR="00055BFC" w:rsidRPr="00487076" w:rsidRDefault="00055BFC" w:rsidP="00B92127">
            <w:pPr>
              <w:spacing w:line="240" w:lineRule="auto"/>
              <w:rPr>
                <w:bCs/>
                <w:sz w:val="18"/>
                <w:szCs w:val="18"/>
              </w:rPr>
            </w:pPr>
            <w:r>
              <w:rPr>
                <w:sz w:val="18"/>
              </w:rPr>
              <w:t>Управление идентификационными данными и доступом ЮНФПА</w:t>
            </w:r>
          </w:p>
        </w:tc>
        <w:tc>
          <w:tcPr>
            <w:tcW w:w="5402" w:type="dxa"/>
            <w:shd w:val="clear" w:color="auto" w:fill="auto"/>
            <w:vAlign w:val="center"/>
          </w:tcPr>
          <w:p w14:paraId="0FAC18EC" w14:textId="77777777" w:rsidR="00055BFC" w:rsidRPr="00487076" w:rsidRDefault="00055BFC" w:rsidP="00B92127">
            <w:pPr>
              <w:spacing w:line="240" w:lineRule="auto"/>
              <w:rPr>
                <w:bCs/>
                <w:sz w:val="18"/>
                <w:szCs w:val="18"/>
              </w:rPr>
            </w:pPr>
            <w:r>
              <w:rPr>
                <w:sz w:val="18"/>
              </w:rPr>
              <w:t>Отчет № 29 опубликован в декабре 2024 года.</w:t>
            </w:r>
          </w:p>
        </w:tc>
      </w:tr>
      <w:tr w:rsidR="00055BFC" w:rsidRPr="00487076" w14:paraId="0C957AAB" w14:textId="77777777" w:rsidTr="00B92127">
        <w:trPr>
          <w:trHeight w:val="337"/>
        </w:trPr>
        <w:tc>
          <w:tcPr>
            <w:tcW w:w="1795" w:type="dxa"/>
            <w:vMerge/>
            <w:shd w:val="clear" w:color="auto" w:fill="auto"/>
            <w:vAlign w:val="center"/>
          </w:tcPr>
          <w:p w14:paraId="647750CD" w14:textId="77777777" w:rsidR="00055BFC" w:rsidRPr="00487076" w:rsidRDefault="00055BFC" w:rsidP="00B92127">
            <w:pPr>
              <w:spacing w:line="240" w:lineRule="auto"/>
              <w:rPr>
                <w:b/>
                <w:i/>
                <w:sz w:val="18"/>
                <w:szCs w:val="18"/>
              </w:rPr>
            </w:pPr>
          </w:p>
        </w:tc>
        <w:tc>
          <w:tcPr>
            <w:tcW w:w="723" w:type="dxa"/>
            <w:vMerge/>
            <w:shd w:val="clear" w:color="auto" w:fill="auto"/>
            <w:vAlign w:val="center"/>
          </w:tcPr>
          <w:p w14:paraId="5063B558" w14:textId="77777777" w:rsidR="00055BFC" w:rsidRPr="00487076" w:rsidRDefault="00055BFC" w:rsidP="00B92127">
            <w:pPr>
              <w:spacing w:line="240" w:lineRule="auto"/>
              <w:rPr>
                <w:b/>
                <w:sz w:val="18"/>
                <w:szCs w:val="18"/>
              </w:rPr>
            </w:pPr>
          </w:p>
        </w:tc>
        <w:tc>
          <w:tcPr>
            <w:tcW w:w="2067" w:type="dxa"/>
            <w:shd w:val="clear" w:color="auto" w:fill="auto"/>
            <w:vAlign w:val="center"/>
          </w:tcPr>
          <w:p w14:paraId="1C30C7E3" w14:textId="77777777" w:rsidR="00055BFC" w:rsidRPr="00487076" w:rsidRDefault="00055BFC" w:rsidP="00B92127">
            <w:pPr>
              <w:spacing w:line="240" w:lineRule="auto"/>
              <w:rPr>
                <w:bCs/>
                <w:sz w:val="18"/>
                <w:szCs w:val="18"/>
              </w:rPr>
            </w:pPr>
            <w:r>
              <w:rPr>
                <w:sz w:val="18"/>
              </w:rPr>
              <w:t>Гендерное равенство и расширение прав и возможностей женщин в ЮНФПА</w:t>
            </w:r>
          </w:p>
        </w:tc>
        <w:tc>
          <w:tcPr>
            <w:tcW w:w="5402" w:type="dxa"/>
            <w:shd w:val="clear" w:color="auto" w:fill="auto"/>
            <w:vAlign w:val="center"/>
          </w:tcPr>
          <w:p w14:paraId="16711DEB" w14:textId="77777777" w:rsidR="00055BFC" w:rsidRPr="00487076" w:rsidRDefault="00055BFC" w:rsidP="00B92127">
            <w:pPr>
              <w:spacing w:line="240" w:lineRule="auto"/>
              <w:rPr>
                <w:bCs/>
                <w:sz w:val="18"/>
                <w:szCs w:val="18"/>
              </w:rPr>
            </w:pPr>
            <w:r>
              <w:rPr>
                <w:sz w:val="18"/>
              </w:rPr>
              <w:t>Отчет № 2 опубликован в январе 2025 года.</w:t>
            </w:r>
          </w:p>
        </w:tc>
      </w:tr>
      <w:tr w:rsidR="00055BFC" w:rsidRPr="00487076" w14:paraId="57A63941" w14:textId="77777777" w:rsidTr="00B92127">
        <w:trPr>
          <w:trHeight w:val="337"/>
        </w:trPr>
        <w:tc>
          <w:tcPr>
            <w:tcW w:w="1795" w:type="dxa"/>
            <w:vMerge/>
            <w:shd w:val="clear" w:color="auto" w:fill="auto"/>
            <w:vAlign w:val="center"/>
          </w:tcPr>
          <w:p w14:paraId="5D8FB1BC" w14:textId="77777777" w:rsidR="00055BFC" w:rsidRPr="00487076" w:rsidRDefault="00055BFC" w:rsidP="00B92127">
            <w:pPr>
              <w:spacing w:line="240" w:lineRule="auto"/>
              <w:rPr>
                <w:b/>
                <w:i/>
                <w:sz w:val="18"/>
                <w:szCs w:val="18"/>
              </w:rPr>
            </w:pPr>
          </w:p>
        </w:tc>
        <w:tc>
          <w:tcPr>
            <w:tcW w:w="723" w:type="dxa"/>
            <w:vMerge/>
            <w:shd w:val="clear" w:color="auto" w:fill="auto"/>
            <w:vAlign w:val="center"/>
          </w:tcPr>
          <w:p w14:paraId="6CA25B4D" w14:textId="77777777" w:rsidR="00055BFC" w:rsidRPr="00487076" w:rsidRDefault="00055BFC" w:rsidP="00B92127">
            <w:pPr>
              <w:spacing w:line="240" w:lineRule="auto"/>
              <w:rPr>
                <w:b/>
                <w:sz w:val="18"/>
                <w:szCs w:val="18"/>
              </w:rPr>
            </w:pPr>
          </w:p>
        </w:tc>
        <w:tc>
          <w:tcPr>
            <w:tcW w:w="2067" w:type="dxa"/>
            <w:shd w:val="clear" w:color="auto" w:fill="auto"/>
            <w:vAlign w:val="center"/>
          </w:tcPr>
          <w:p w14:paraId="2B95894B" w14:textId="77777777" w:rsidR="00055BFC" w:rsidRPr="00487076" w:rsidRDefault="00055BFC" w:rsidP="00B92127">
            <w:pPr>
              <w:spacing w:line="240" w:lineRule="auto"/>
              <w:rPr>
                <w:bCs/>
                <w:sz w:val="18"/>
                <w:szCs w:val="18"/>
              </w:rPr>
            </w:pPr>
            <w:r>
              <w:rPr>
                <w:sz w:val="18"/>
              </w:rPr>
              <w:t>Деятельность ЮНФПА по реагированию на чрезвычайные ситуации</w:t>
            </w:r>
          </w:p>
        </w:tc>
        <w:tc>
          <w:tcPr>
            <w:tcW w:w="5402" w:type="dxa"/>
            <w:shd w:val="clear" w:color="auto" w:fill="auto"/>
            <w:vAlign w:val="center"/>
          </w:tcPr>
          <w:p w14:paraId="22C0C083" w14:textId="77777777" w:rsidR="00055BFC" w:rsidRPr="00487076" w:rsidRDefault="00055BFC" w:rsidP="00B92127">
            <w:pPr>
              <w:spacing w:line="240" w:lineRule="auto"/>
              <w:rPr>
                <w:bCs/>
                <w:sz w:val="18"/>
                <w:szCs w:val="18"/>
              </w:rPr>
            </w:pPr>
            <w:r>
              <w:rPr>
                <w:sz w:val="18"/>
              </w:rPr>
              <w:t>Отчет № 6 опубликован в марте 2024 года.</w:t>
            </w:r>
          </w:p>
        </w:tc>
      </w:tr>
      <w:tr w:rsidR="00055BFC" w:rsidRPr="00487076" w14:paraId="35142D8E" w14:textId="77777777" w:rsidTr="00B92127">
        <w:trPr>
          <w:trHeight w:val="337"/>
        </w:trPr>
        <w:tc>
          <w:tcPr>
            <w:tcW w:w="1795" w:type="dxa"/>
            <w:vMerge/>
            <w:shd w:val="clear" w:color="auto" w:fill="auto"/>
            <w:vAlign w:val="center"/>
          </w:tcPr>
          <w:p w14:paraId="1EEF6063" w14:textId="77777777" w:rsidR="00055BFC" w:rsidRPr="00487076" w:rsidRDefault="00055BFC" w:rsidP="00B92127">
            <w:pPr>
              <w:spacing w:line="240" w:lineRule="auto"/>
              <w:rPr>
                <w:b/>
                <w:i/>
                <w:sz w:val="18"/>
                <w:szCs w:val="18"/>
              </w:rPr>
            </w:pPr>
          </w:p>
        </w:tc>
        <w:tc>
          <w:tcPr>
            <w:tcW w:w="723" w:type="dxa"/>
            <w:vMerge/>
            <w:shd w:val="clear" w:color="auto" w:fill="auto"/>
            <w:vAlign w:val="center"/>
          </w:tcPr>
          <w:p w14:paraId="60516D69" w14:textId="77777777" w:rsidR="00055BFC" w:rsidRPr="00487076" w:rsidRDefault="00055BFC" w:rsidP="00B92127">
            <w:pPr>
              <w:spacing w:line="240" w:lineRule="auto"/>
              <w:rPr>
                <w:b/>
                <w:sz w:val="18"/>
                <w:szCs w:val="18"/>
              </w:rPr>
            </w:pPr>
          </w:p>
        </w:tc>
        <w:tc>
          <w:tcPr>
            <w:tcW w:w="2067" w:type="dxa"/>
            <w:shd w:val="clear" w:color="auto" w:fill="auto"/>
            <w:vAlign w:val="center"/>
          </w:tcPr>
          <w:p w14:paraId="2EDF3EDF" w14:textId="77777777" w:rsidR="00055BFC" w:rsidRPr="00487076" w:rsidRDefault="00055BFC" w:rsidP="00B92127">
            <w:pPr>
              <w:spacing w:line="240" w:lineRule="auto"/>
              <w:rPr>
                <w:bCs/>
                <w:sz w:val="18"/>
                <w:szCs w:val="18"/>
              </w:rPr>
            </w:pPr>
            <w:r>
              <w:rPr>
                <w:sz w:val="18"/>
              </w:rPr>
              <w:t>Управление цепочками поставок и стратегия закупок</w:t>
            </w:r>
          </w:p>
        </w:tc>
        <w:tc>
          <w:tcPr>
            <w:tcW w:w="5402" w:type="dxa"/>
            <w:shd w:val="clear" w:color="auto" w:fill="auto"/>
            <w:vAlign w:val="center"/>
          </w:tcPr>
          <w:p w14:paraId="457BAFCD" w14:textId="77777777" w:rsidR="00055BFC" w:rsidRPr="00487076" w:rsidRDefault="00055BFC" w:rsidP="00B92127">
            <w:pPr>
              <w:spacing w:line="240" w:lineRule="auto"/>
              <w:rPr>
                <w:bCs/>
                <w:sz w:val="18"/>
                <w:szCs w:val="18"/>
              </w:rPr>
            </w:pPr>
            <w:r>
              <w:rPr>
                <w:sz w:val="18"/>
              </w:rPr>
              <w:t>Задача перенесена с 2024 на 2025 год для проведения аудита Группы регулирования функционирования цепи снабжения (ГРФЦС) Комиссии ревизоров Организации Объединенных Наций.</w:t>
            </w:r>
          </w:p>
        </w:tc>
      </w:tr>
      <w:tr w:rsidR="00055BFC" w:rsidRPr="00487076" w14:paraId="14B9FFC7" w14:textId="77777777" w:rsidTr="00B92127">
        <w:trPr>
          <w:trHeight w:val="337"/>
        </w:trPr>
        <w:tc>
          <w:tcPr>
            <w:tcW w:w="1795" w:type="dxa"/>
            <w:shd w:val="clear" w:color="auto" w:fill="auto"/>
            <w:vAlign w:val="center"/>
          </w:tcPr>
          <w:p w14:paraId="62247182" w14:textId="77777777" w:rsidR="00055BFC" w:rsidRPr="00487076" w:rsidRDefault="00055BFC" w:rsidP="00B92127">
            <w:pPr>
              <w:spacing w:line="240" w:lineRule="auto"/>
              <w:rPr>
                <w:b/>
                <w:i/>
                <w:sz w:val="18"/>
                <w:szCs w:val="18"/>
              </w:rPr>
            </w:pPr>
            <w:r>
              <w:rPr>
                <w:b/>
                <w:i/>
                <w:sz w:val="18"/>
              </w:rPr>
              <w:t>Региональное отделение</w:t>
            </w:r>
          </w:p>
        </w:tc>
        <w:tc>
          <w:tcPr>
            <w:tcW w:w="723" w:type="dxa"/>
            <w:shd w:val="clear" w:color="auto" w:fill="auto"/>
            <w:vAlign w:val="center"/>
          </w:tcPr>
          <w:p w14:paraId="2B2368A9" w14:textId="77777777" w:rsidR="00055BFC" w:rsidRPr="00487076" w:rsidRDefault="00055BFC" w:rsidP="00B92127">
            <w:pPr>
              <w:spacing w:line="240" w:lineRule="auto"/>
              <w:rPr>
                <w:b/>
                <w:sz w:val="18"/>
                <w:szCs w:val="18"/>
              </w:rPr>
            </w:pPr>
            <w:r>
              <w:rPr>
                <w:b/>
                <w:sz w:val="18"/>
              </w:rPr>
              <w:t>1</w:t>
            </w:r>
          </w:p>
        </w:tc>
        <w:tc>
          <w:tcPr>
            <w:tcW w:w="2067" w:type="dxa"/>
            <w:shd w:val="clear" w:color="auto" w:fill="auto"/>
            <w:vAlign w:val="center"/>
          </w:tcPr>
          <w:p w14:paraId="0872EC78" w14:textId="77777777" w:rsidR="00055BFC" w:rsidRPr="00487076" w:rsidRDefault="00055BFC" w:rsidP="00B92127">
            <w:pPr>
              <w:spacing w:line="240" w:lineRule="auto"/>
              <w:rPr>
                <w:bCs/>
                <w:sz w:val="18"/>
                <w:szCs w:val="18"/>
              </w:rPr>
            </w:pPr>
            <w:r>
              <w:rPr>
                <w:sz w:val="18"/>
              </w:rPr>
              <w:t>Региональное отделение для Восточной и Южной Африки</w:t>
            </w:r>
          </w:p>
        </w:tc>
        <w:tc>
          <w:tcPr>
            <w:tcW w:w="5402" w:type="dxa"/>
            <w:shd w:val="clear" w:color="auto" w:fill="auto"/>
            <w:vAlign w:val="center"/>
          </w:tcPr>
          <w:p w14:paraId="3BE67F9A" w14:textId="77777777" w:rsidR="00055BFC" w:rsidRPr="00487076" w:rsidRDefault="00055BFC" w:rsidP="00B92127">
            <w:pPr>
              <w:spacing w:line="240" w:lineRule="auto"/>
              <w:rPr>
                <w:bCs/>
                <w:sz w:val="18"/>
                <w:szCs w:val="18"/>
              </w:rPr>
            </w:pPr>
            <w:r>
              <w:rPr>
                <w:sz w:val="18"/>
              </w:rPr>
              <w:t>Отчет № 5 опубликован в марте 2025 года.</w:t>
            </w:r>
          </w:p>
        </w:tc>
      </w:tr>
      <w:tr w:rsidR="00055BFC" w:rsidRPr="00487076" w14:paraId="70E1C752" w14:textId="77777777" w:rsidTr="00B92127">
        <w:trPr>
          <w:trHeight w:val="337"/>
        </w:trPr>
        <w:tc>
          <w:tcPr>
            <w:tcW w:w="1795" w:type="dxa"/>
            <w:shd w:val="clear" w:color="auto" w:fill="auto"/>
            <w:vAlign w:val="center"/>
          </w:tcPr>
          <w:p w14:paraId="3E963E0C" w14:textId="77777777" w:rsidR="00055BFC" w:rsidRPr="00487076" w:rsidRDefault="00055BFC" w:rsidP="00B92127">
            <w:pPr>
              <w:spacing w:line="240" w:lineRule="auto"/>
              <w:rPr>
                <w:b/>
                <w:i/>
                <w:sz w:val="18"/>
                <w:szCs w:val="18"/>
              </w:rPr>
            </w:pPr>
            <w:r>
              <w:rPr>
                <w:b/>
                <w:i/>
                <w:sz w:val="18"/>
              </w:rPr>
              <w:t>Субрегиональное отделение</w:t>
            </w:r>
          </w:p>
        </w:tc>
        <w:tc>
          <w:tcPr>
            <w:tcW w:w="723" w:type="dxa"/>
            <w:shd w:val="clear" w:color="auto" w:fill="auto"/>
            <w:vAlign w:val="center"/>
          </w:tcPr>
          <w:p w14:paraId="24D73A83" w14:textId="77777777" w:rsidR="00055BFC" w:rsidRPr="00487076" w:rsidRDefault="00055BFC" w:rsidP="00B92127">
            <w:pPr>
              <w:spacing w:line="240" w:lineRule="auto"/>
              <w:rPr>
                <w:b/>
                <w:sz w:val="18"/>
                <w:szCs w:val="18"/>
              </w:rPr>
            </w:pPr>
            <w:r>
              <w:rPr>
                <w:b/>
                <w:sz w:val="18"/>
              </w:rPr>
              <w:t>1</w:t>
            </w:r>
          </w:p>
        </w:tc>
        <w:tc>
          <w:tcPr>
            <w:tcW w:w="2067" w:type="dxa"/>
            <w:shd w:val="clear" w:color="auto" w:fill="auto"/>
            <w:vAlign w:val="center"/>
          </w:tcPr>
          <w:p w14:paraId="6FEC797F" w14:textId="77777777" w:rsidR="00055BFC" w:rsidRPr="00487076" w:rsidRDefault="00055BFC" w:rsidP="00B92127">
            <w:pPr>
              <w:spacing w:line="240" w:lineRule="auto"/>
              <w:rPr>
                <w:bCs/>
                <w:sz w:val="18"/>
                <w:szCs w:val="18"/>
              </w:rPr>
            </w:pPr>
            <w:r>
              <w:rPr>
                <w:sz w:val="18"/>
              </w:rPr>
              <w:t>Субрегиональное отделение для стран Карибского бассейна</w:t>
            </w:r>
          </w:p>
        </w:tc>
        <w:tc>
          <w:tcPr>
            <w:tcW w:w="5402" w:type="dxa"/>
            <w:shd w:val="clear" w:color="auto" w:fill="auto"/>
            <w:vAlign w:val="center"/>
          </w:tcPr>
          <w:p w14:paraId="5DFDE908" w14:textId="77777777" w:rsidR="00055BFC" w:rsidRPr="00487076" w:rsidRDefault="00055BFC" w:rsidP="00B92127">
            <w:pPr>
              <w:spacing w:line="240" w:lineRule="auto"/>
              <w:rPr>
                <w:bCs/>
                <w:sz w:val="18"/>
                <w:szCs w:val="18"/>
              </w:rPr>
            </w:pPr>
            <w:r>
              <w:rPr>
                <w:sz w:val="18"/>
              </w:rPr>
              <w:t>Отчет № 22 опубликован в декабре 2024 года.</w:t>
            </w:r>
          </w:p>
        </w:tc>
      </w:tr>
      <w:tr w:rsidR="00055BFC" w:rsidRPr="00487076" w14:paraId="65516C07" w14:textId="77777777" w:rsidTr="00B92127">
        <w:trPr>
          <w:trHeight w:val="337"/>
        </w:trPr>
        <w:tc>
          <w:tcPr>
            <w:tcW w:w="1795" w:type="dxa"/>
            <w:vMerge w:val="restart"/>
            <w:shd w:val="clear" w:color="auto" w:fill="auto"/>
            <w:vAlign w:val="center"/>
          </w:tcPr>
          <w:p w14:paraId="20A898D1" w14:textId="77777777" w:rsidR="00055BFC" w:rsidRPr="00487076" w:rsidRDefault="00055BFC" w:rsidP="00B92127">
            <w:pPr>
              <w:spacing w:line="240" w:lineRule="auto"/>
              <w:rPr>
                <w:b/>
                <w:i/>
                <w:sz w:val="18"/>
                <w:szCs w:val="18"/>
              </w:rPr>
            </w:pPr>
            <w:r>
              <w:rPr>
                <w:b/>
                <w:i/>
                <w:sz w:val="18"/>
              </w:rPr>
              <w:t>Страновое отделение</w:t>
            </w:r>
          </w:p>
        </w:tc>
        <w:tc>
          <w:tcPr>
            <w:tcW w:w="723" w:type="dxa"/>
            <w:vMerge w:val="restart"/>
            <w:shd w:val="clear" w:color="auto" w:fill="auto"/>
            <w:vAlign w:val="center"/>
          </w:tcPr>
          <w:p w14:paraId="7EFB3F7F" w14:textId="77777777" w:rsidR="00055BFC" w:rsidRPr="00487076" w:rsidRDefault="00055BFC" w:rsidP="00B92127">
            <w:pPr>
              <w:spacing w:line="240" w:lineRule="auto"/>
              <w:rPr>
                <w:b/>
                <w:sz w:val="18"/>
                <w:szCs w:val="18"/>
              </w:rPr>
            </w:pPr>
            <w:r>
              <w:rPr>
                <w:b/>
                <w:sz w:val="18"/>
              </w:rPr>
              <w:t>22</w:t>
            </w:r>
          </w:p>
        </w:tc>
        <w:tc>
          <w:tcPr>
            <w:tcW w:w="2067" w:type="dxa"/>
            <w:tcBorders>
              <w:bottom w:val="single" w:sz="2" w:space="0" w:color="auto"/>
            </w:tcBorders>
            <w:shd w:val="clear" w:color="auto" w:fill="auto"/>
            <w:vAlign w:val="center"/>
          </w:tcPr>
          <w:p w14:paraId="07BFE679" w14:textId="77777777" w:rsidR="00055BFC" w:rsidRPr="00487076" w:rsidRDefault="00055BFC" w:rsidP="00B92127">
            <w:pPr>
              <w:spacing w:line="240" w:lineRule="auto"/>
              <w:rPr>
                <w:bCs/>
                <w:sz w:val="18"/>
                <w:szCs w:val="18"/>
              </w:rPr>
            </w:pPr>
            <w:r>
              <w:rPr>
                <w:sz w:val="18"/>
              </w:rPr>
              <w:t>Экваториальная Гвинея</w:t>
            </w:r>
          </w:p>
        </w:tc>
        <w:tc>
          <w:tcPr>
            <w:tcW w:w="5402" w:type="dxa"/>
            <w:tcBorders>
              <w:bottom w:val="single" w:sz="2" w:space="0" w:color="auto"/>
            </w:tcBorders>
            <w:shd w:val="clear" w:color="auto" w:fill="auto"/>
            <w:vAlign w:val="center"/>
          </w:tcPr>
          <w:p w14:paraId="67F962D5" w14:textId="77777777" w:rsidR="00055BFC" w:rsidRPr="00487076" w:rsidRDefault="00055BFC" w:rsidP="00B92127">
            <w:pPr>
              <w:spacing w:line="240" w:lineRule="auto"/>
              <w:rPr>
                <w:bCs/>
                <w:sz w:val="18"/>
                <w:szCs w:val="18"/>
              </w:rPr>
            </w:pPr>
            <w:r>
              <w:rPr>
                <w:sz w:val="18"/>
              </w:rPr>
              <w:t>Отчет № 4 опубликован в марте 2024 года.</w:t>
            </w:r>
          </w:p>
        </w:tc>
      </w:tr>
      <w:tr w:rsidR="00055BFC" w:rsidRPr="00487076" w14:paraId="37FCECDA" w14:textId="77777777" w:rsidTr="00B92127">
        <w:trPr>
          <w:trHeight w:val="337"/>
        </w:trPr>
        <w:tc>
          <w:tcPr>
            <w:tcW w:w="1795" w:type="dxa"/>
            <w:vMerge/>
            <w:shd w:val="clear" w:color="auto" w:fill="auto"/>
            <w:vAlign w:val="center"/>
          </w:tcPr>
          <w:p w14:paraId="7FAA42E6" w14:textId="77777777" w:rsidR="00055BFC" w:rsidRPr="00487076" w:rsidRDefault="00055BFC" w:rsidP="00B92127">
            <w:pPr>
              <w:spacing w:line="240" w:lineRule="auto"/>
              <w:rPr>
                <w:b/>
                <w:i/>
                <w:sz w:val="18"/>
                <w:szCs w:val="18"/>
              </w:rPr>
            </w:pPr>
          </w:p>
        </w:tc>
        <w:tc>
          <w:tcPr>
            <w:tcW w:w="723" w:type="dxa"/>
            <w:vMerge/>
            <w:shd w:val="clear" w:color="auto" w:fill="auto"/>
            <w:vAlign w:val="center"/>
          </w:tcPr>
          <w:p w14:paraId="41D56325" w14:textId="77777777" w:rsidR="00055BFC" w:rsidRPr="00487076" w:rsidRDefault="00055BFC" w:rsidP="00B92127">
            <w:pPr>
              <w:spacing w:line="240" w:lineRule="auto"/>
              <w:rPr>
                <w:bCs/>
                <w:sz w:val="18"/>
                <w:szCs w:val="18"/>
              </w:rPr>
            </w:pPr>
          </w:p>
        </w:tc>
        <w:tc>
          <w:tcPr>
            <w:tcW w:w="2067" w:type="dxa"/>
            <w:tcBorders>
              <w:bottom w:val="single" w:sz="2" w:space="0" w:color="auto"/>
            </w:tcBorders>
            <w:shd w:val="clear" w:color="auto" w:fill="auto"/>
            <w:vAlign w:val="center"/>
          </w:tcPr>
          <w:p w14:paraId="32496A5E" w14:textId="77777777" w:rsidR="00055BFC" w:rsidRPr="00487076" w:rsidRDefault="00055BFC" w:rsidP="00B92127">
            <w:pPr>
              <w:spacing w:line="240" w:lineRule="auto"/>
              <w:rPr>
                <w:bCs/>
                <w:sz w:val="18"/>
                <w:szCs w:val="18"/>
              </w:rPr>
            </w:pPr>
            <w:r>
              <w:rPr>
                <w:sz w:val="18"/>
              </w:rPr>
              <w:t>Центральноафриканская Республика</w:t>
            </w:r>
          </w:p>
        </w:tc>
        <w:tc>
          <w:tcPr>
            <w:tcW w:w="5402" w:type="dxa"/>
            <w:tcBorders>
              <w:bottom w:val="single" w:sz="2" w:space="0" w:color="auto"/>
            </w:tcBorders>
            <w:shd w:val="clear" w:color="auto" w:fill="auto"/>
            <w:vAlign w:val="center"/>
          </w:tcPr>
          <w:p w14:paraId="45826F84" w14:textId="77777777" w:rsidR="00055BFC" w:rsidRPr="00487076" w:rsidRDefault="00055BFC" w:rsidP="00B92127">
            <w:pPr>
              <w:spacing w:line="240" w:lineRule="auto"/>
              <w:rPr>
                <w:bCs/>
                <w:sz w:val="18"/>
                <w:szCs w:val="18"/>
              </w:rPr>
            </w:pPr>
            <w:r>
              <w:rPr>
                <w:sz w:val="18"/>
              </w:rPr>
              <w:t>Отчет № 6 опубликован в апреле 2024 года.</w:t>
            </w:r>
          </w:p>
        </w:tc>
      </w:tr>
      <w:tr w:rsidR="00055BFC" w:rsidRPr="00487076" w14:paraId="573B3EB1" w14:textId="77777777" w:rsidTr="00B92127">
        <w:trPr>
          <w:trHeight w:val="337"/>
        </w:trPr>
        <w:tc>
          <w:tcPr>
            <w:tcW w:w="1795" w:type="dxa"/>
            <w:vMerge/>
            <w:shd w:val="clear" w:color="auto" w:fill="auto"/>
            <w:vAlign w:val="center"/>
          </w:tcPr>
          <w:p w14:paraId="7D172F20" w14:textId="77777777" w:rsidR="00055BFC" w:rsidRPr="00487076" w:rsidRDefault="00055BFC" w:rsidP="00B92127">
            <w:pPr>
              <w:spacing w:line="240" w:lineRule="auto"/>
              <w:rPr>
                <w:b/>
                <w:i/>
                <w:sz w:val="18"/>
                <w:szCs w:val="18"/>
              </w:rPr>
            </w:pPr>
          </w:p>
        </w:tc>
        <w:tc>
          <w:tcPr>
            <w:tcW w:w="723" w:type="dxa"/>
            <w:vMerge/>
            <w:shd w:val="clear" w:color="auto" w:fill="auto"/>
            <w:vAlign w:val="center"/>
          </w:tcPr>
          <w:p w14:paraId="7D77C6D9" w14:textId="77777777" w:rsidR="00055BFC" w:rsidRPr="00487076" w:rsidRDefault="00055BFC" w:rsidP="00B92127">
            <w:pPr>
              <w:spacing w:line="240" w:lineRule="auto"/>
              <w:rPr>
                <w:bCs/>
                <w:sz w:val="18"/>
                <w:szCs w:val="18"/>
              </w:rPr>
            </w:pPr>
          </w:p>
        </w:tc>
        <w:tc>
          <w:tcPr>
            <w:tcW w:w="2067" w:type="dxa"/>
            <w:tcBorders>
              <w:bottom w:val="single" w:sz="2" w:space="0" w:color="auto"/>
            </w:tcBorders>
            <w:shd w:val="clear" w:color="auto" w:fill="auto"/>
            <w:vAlign w:val="center"/>
          </w:tcPr>
          <w:p w14:paraId="77146625" w14:textId="77777777" w:rsidR="00055BFC" w:rsidRPr="00487076" w:rsidRDefault="00055BFC" w:rsidP="00B92127">
            <w:pPr>
              <w:spacing w:line="240" w:lineRule="auto"/>
              <w:rPr>
                <w:bCs/>
                <w:sz w:val="18"/>
                <w:szCs w:val="18"/>
              </w:rPr>
            </w:pPr>
            <w:r>
              <w:rPr>
                <w:sz w:val="18"/>
              </w:rPr>
              <w:t>Афганистан</w:t>
            </w:r>
          </w:p>
        </w:tc>
        <w:tc>
          <w:tcPr>
            <w:tcW w:w="5402" w:type="dxa"/>
            <w:tcBorders>
              <w:bottom w:val="single" w:sz="2" w:space="0" w:color="auto"/>
            </w:tcBorders>
            <w:shd w:val="clear" w:color="auto" w:fill="auto"/>
            <w:vAlign w:val="center"/>
          </w:tcPr>
          <w:p w14:paraId="649F8842" w14:textId="77777777" w:rsidR="00055BFC" w:rsidRPr="00487076" w:rsidRDefault="00055BFC" w:rsidP="00B92127">
            <w:pPr>
              <w:spacing w:line="240" w:lineRule="auto"/>
              <w:rPr>
                <w:bCs/>
                <w:sz w:val="18"/>
                <w:szCs w:val="18"/>
              </w:rPr>
            </w:pPr>
            <w:r>
              <w:rPr>
                <w:sz w:val="18"/>
              </w:rPr>
              <w:t>Отчет № 8 опубликован в июле 2024 года.</w:t>
            </w:r>
          </w:p>
        </w:tc>
      </w:tr>
      <w:tr w:rsidR="00055BFC" w:rsidRPr="00487076" w14:paraId="38903882" w14:textId="77777777" w:rsidTr="00B92127">
        <w:trPr>
          <w:trHeight w:val="337"/>
        </w:trPr>
        <w:tc>
          <w:tcPr>
            <w:tcW w:w="1795" w:type="dxa"/>
            <w:vMerge/>
            <w:shd w:val="clear" w:color="auto" w:fill="auto"/>
            <w:vAlign w:val="center"/>
          </w:tcPr>
          <w:p w14:paraId="16E0E9AA" w14:textId="77777777" w:rsidR="00055BFC" w:rsidRPr="00487076" w:rsidRDefault="00055BFC" w:rsidP="00B92127">
            <w:pPr>
              <w:spacing w:line="240" w:lineRule="auto"/>
              <w:rPr>
                <w:b/>
                <w:i/>
                <w:sz w:val="18"/>
                <w:szCs w:val="18"/>
              </w:rPr>
            </w:pPr>
          </w:p>
        </w:tc>
        <w:tc>
          <w:tcPr>
            <w:tcW w:w="723" w:type="dxa"/>
            <w:vMerge/>
            <w:shd w:val="clear" w:color="auto" w:fill="auto"/>
            <w:vAlign w:val="center"/>
          </w:tcPr>
          <w:p w14:paraId="4D70DEAC" w14:textId="77777777" w:rsidR="00055BFC" w:rsidRPr="00487076" w:rsidRDefault="00055BFC" w:rsidP="00B92127">
            <w:pPr>
              <w:spacing w:line="240" w:lineRule="auto"/>
              <w:rPr>
                <w:bCs/>
                <w:sz w:val="18"/>
                <w:szCs w:val="18"/>
              </w:rPr>
            </w:pPr>
          </w:p>
        </w:tc>
        <w:tc>
          <w:tcPr>
            <w:tcW w:w="2067" w:type="dxa"/>
            <w:tcBorders>
              <w:bottom w:val="single" w:sz="2" w:space="0" w:color="auto"/>
            </w:tcBorders>
            <w:shd w:val="clear" w:color="auto" w:fill="auto"/>
            <w:vAlign w:val="center"/>
          </w:tcPr>
          <w:p w14:paraId="7E1B43FF" w14:textId="77777777" w:rsidR="00055BFC" w:rsidRPr="00487076" w:rsidRDefault="00055BFC" w:rsidP="00B92127">
            <w:pPr>
              <w:spacing w:line="240" w:lineRule="auto"/>
              <w:rPr>
                <w:bCs/>
                <w:sz w:val="18"/>
                <w:szCs w:val="18"/>
              </w:rPr>
            </w:pPr>
            <w:r>
              <w:rPr>
                <w:sz w:val="18"/>
              </w:rPr>
              <w:t>Габон</w:t>
            </w:r>
          </w:p>
        </w:tc>
        <w:tc>
          <w:tcPr>
            <w:tcW w:w="5402" w:type="dxa"/>
            <w:tcBorders>
              <w:bottom w:val="single" w:sz="2" w:space="0" w:color="auto"/>
            </w:tcBorders>
            <w:shd w:val="clear" w:color="auto" w:fill="auto"/>
            <w:vAlign w:val="center"/>
          </w:tcPr>
          <w:p w14:paraId="770C93D5" w14:textId="77777777" w:rsidR="00055BFC" w:rsidRPr="00487076" w:rsidRDefault="00055BFC" w:rsidP="00B92127">
            <w:pPr>
              <w:spacing w:line="240" w:lineRule="auto"/>
              <w:rPr>
                <w:bCs/>
                <w:sz w:val="18"/>
                <w:szCs w:val="18"/>
              </w:rPr>
            </w:pPr>
            <w:r>
              <w:rPr>
                <w:sz w:val="18"/>
              </w:rPr>
              <w:t>Отчет № 9 опубликован в июле 2024 года.</w:t>
            </w:r>
          </w:p>
        </w:tc>
      </w:tr>
      <w:tr w:rsidR="00055BFC" w:rsidRPr="00487076" w14:paraId="4981B8E0" w14:textId="77777777" w:rsidTr="00B92127">
        <w:trPr>
          <w:trHeight w:val="337"/>
        </w:trPr>
        <w:tc>
          <w:tcPr>
            <w:tcW w:w="1795" w:type="dxa"/>
            <w:vMerge/>
            <w:shd w:val="clear" w:color="auto" w:fill="auto"/>
            <w:vAlign w:val="center"/>
          </w:tcPr>
          <w:p w14:paraId="0FD49CE2" w14:textId="77777777" w:rsidR="00055BFC" w:rsidRPr="00487076" w:rsidRDefault="00055BFC" w:rsidP="00B92127">
            <w:pPr>
              <w:spacing w:line="240" w:lineRule="auto"/>
              <w:rPr>
                <w:b/>
                <w:i/>
                <w:sz w:val="18"/>
                <w:szCs w:val="18"/>
              </w:rPr>
            </w:pPr>
          </w:p>
        </w:tc>
        <w:tc>
          <w:tcPr>
            <w:tcW w:w="723" w:type="dxa"/>
            <w:vMerge/>
            <w:shd w:val="clear" w:color="auto" w:fill="auto"/>
            <w:vAlign w:val="center"/>
          </w:tcPr>
          <w:p w14:paraId="6A9352C8" w14:textId="77777777" w:rsidR="00055BFC" w:rsidRPr="00487076" w:rsidRDefault="00055BFC" w:rsidP="00B92127">
            <w:pPr>
              <w:spacing w:line="240" w:lineRule="auto"/>
              <w:rPr>
                <w:bCs/>
                <w:sz w:val="18"/>
                <w:szCs w:val="18"/>
              </w:rPr>
            </w:pPr>
          </w:p>
        </w:tc>
        <w:tc>
          <w:tcPr>
            <w:tcW w:w="2067" w:type="dxa"/>
            <w:tcBorders>
              <w:bottom w:val="single" w:sz="2" w:space="0" w:color="auto"/>
            </w:tcBorders>
            <w:shd w:val="clear" w:color="auto" w:fill="auto"/>
            <w:vAlign w:val="center"/>
          </w:tcPr>
          <w:p w14:paraId="30DBA3D7" w14:textId="77777777" w:rsidR="00055BFC" w:rsidRPr="00487076" w:rsidRDefault="00055BFC" w:rsidP="00B92127">
            <w:pPr>
              <w:spacing w:line="240" w:lineRule="auto"/>
              <w:rPr>
                <w:bCs/>
                <w:sz w:val="18"/>
                <w:szCs w:val="18"/>
              </w:rPr>
            </w:pPr>
            <w:r>
              <w:rPr>
                <w:sz w:val="18"/>
              </w:rPr>
              <w:t>Того</w:t>
            </w:r>
          </w:p>
        </w:tc>
        <w:tc>
          <w:tcPr>
            <w:tcW w:w="5402" w:type="dxa"/>
            <w:tcBorders>
              <w:bottom w:val="single" w:sz="2" w:space="0" w:color="auto"/>
            </w:tcBorders>
            <w:shd w:val="clear" w:color="auto" w:fill="auto"/>
            <w:vAlign w:val="center"/>
          </w:tcPr>
          <w:p w14:paraId="75293922" w14:textId="77777777" w:rsidR="00055BFC" w:rsidRPr="00487076" w:rsidRDefault="00055BFC" w:rsidP="00B92127">
            <w:pPr>
              <w:spacing w:line="240" w:lineRule="auto"/>
              <w:rPr>
                <w:bCs/>
                <w:sz w:val="18"/>
                <w:szCs w:val="18"/>
              </w:rPr>
            </w:pPr>
            <w:r>
              <w:rPr>
                <w:sz w:val="18"/>
              </w:rPr>
              <w:t>Отчет № 10 опубликован в июле 2024 года.</w:t>
            </w:r>
          </w:p>
        </w:tc>
      </w:tr>
      <w:tr w:rsidR="00055BFC" w:rsidRPr="00487076" w14:paraId="7A603EA7" w14:textId="77777777" w:rsidTr="00B92127">
        <w:trPr>
          <w:trHeight w:val="337"/>
        </w:trPr>
        <w:tc>
          <w:tcPr>
            <w:tcW w:w="1795" w:type="dxa"/>
            <w:vMerge/>
            <w:shd w:val="clear" w:color="auto" w:fill="auto"/>
            <w:vAlign w:val="center"/>
          </w:tcPr>
          <w:p w14:paraId="109E3608" w14:textId="77777777" w:rsidR="00055BFC" w:rsidRPr="00487076" w:rsidRDefault="00055BFC" w:rsidP="00B92127">
            <w:pPr>
              <w:spacing w:line="240" w:lineRule="auto"/>
              <w:rPr>
                <w:b/>
                <w:i/>
                <w:sz w:val="18"/>
                <w:szCs w:val="18"/>
              </w:rPr>
            </w:pPr>
          </w:p>
        </w:tc>
        <w:tc>
          <w:tcPr>
            <w:tcW w:w="723" w:type="dxa"/>
            <w:vMerge/>
            <w:shd w:val="clear" w:color="auto" w:fill="auto"/>
            <w:vAlign w:val="center"/>
          </w:tcPr>
          <w:p w14:paraId="208B7D6A" w14:textId="77777777" w:rsidR="00055BFC" w:rsidRPr="00487076" w:rsidRDefault="00055BFC" w:rsidP="00B92127">
            <w:pPr>
              <w:spacing w:line="240" w:lineRule="auto"/>
              <w:rPr>
                <w:bCs/>
                <w:sz w:val="18"/>
                <w:szCs w:val="18"/>
              </w:rPr>
            </w:pPr>
          </w:p>
        </w:tc>
        <w:tc>
          <w:tcPr>
            <w:tcW w:w="2067" w:type="dxa"/>
            <w:tcBorders>
              <w:bottom w:val="single" w:sz="2" w:space="0" w:color="auto"/>
            </w:tcBorders>
            <w:shd w:val="clear" w:color="auto" w:fill="auto"/>
            <w:vAlign w:val="center"/>
          </w:tcPr>
          <w:p w14:paraId="2257214E" w14:textId="77777777" w:rsidR="00055BFC" w:rsidRPr="00487076" w:rsidRDefault="00055BFC" w:rsidP="00B92127">
            <w:pPr>
              <w:spacing w:line="240" w:lineRule="auto"/>
              <w:rPr>
                <w:bCs/>
                <w:sz w:val="18"/>
                <w:szCs w:val="18"/>
              </w:rPr>
            </w:pPr>
            <w:r>
              <w:rPr>
                <w:sz w:val="18"/>
              </w:rPr>
              <w:t>Гондурас</w:t>
            </w:r>
          </w:p>
        </w:tc>
        <w:tc>
          <w:tcPr>
            <w:tcW w:w="5402" w:type="dxa"/>
            <w:tcBorders>
              <w:bottom w:val="single" w:sz="2" w:space="0" w:color="auto"/>
            </w:tcBorders>
            <w:shd w:val="clear" w:color="auto" w:fill="auto"/>
            <w:vAlign w:val="center"/>
          </w:tcPr>
          <w:p w14:paraId="03A55FFE" w14:textId="77777777" w:rsidR="00055BFC" w:rsidRPr="00487076" w:rsidRDefault="00055BFC" w:rsidP="00B92127">
            <w:pPr>
              <w:spacing w:line="240" w:lineRule="auto"/>
              <w:rPr>
                <w:bCs/>
                <w:sz w:val="18"/>
                <w:szCs w:val="18"/>
              </w:rPr>
            </w:pPr>
            <w:r>
              <w:rPr>
                <w:sz w:val="18"/>
              </w:rPr>
              <w:t>Отчет № 11 опубликован в июле 2024 года.</w:t>
            </w:r>
          </w:p>
        </w:tc>
      </w:tr>
      <w:tr w:rsidR="00055BFC" w:rsidRPr="00487076" w14:paraId="2E66F245" w14:textId="77777777" w:rsidTr="00B92127">
        <w:trPr>
          <w:trHeight w:val="337"/>
        </w:trPr>
        <w:tc>
          <w:tcPr>
            <w:tcW w:w="1795" w:type="dxa"/>
            <w:vMerge/>
            <w:shd w:val="clear" w:color="auto" w:fill="auto"/>
            <w:vAlign w:val="center"/>
          </w:tcPr>
          <w:p w14:paraId="59509363" w14:textId="77777777" w:rsidR="00055BFC" w:rsidRPr="00487076" w:rsidRDefault="00055BFC" w:rsidP="00B92127">
            <w:pPr>
              <w:spacing w:line="240" w:lineRule="auto"/>
              <w:rPr>
                <w:b/>
                <w:i/>
                <w:sz w:val="18"/>
                <w:szCs w:val="18"/>
              </w:rPr>
            </w:pPr>
          </w:p>
        </w:tc>
        <w:tc>
          <w:tcPr>
            <w:tcW w:w="723" w:type="dxa"/>
            <w:vMerge/>
            <w:shd w:val="clear" w:color="auto" w:fill="auto"/>
            <w:vAlign w:val="center"/>
          </w:tcPr>
          <w:p w14:paraId="03332D96" w14:textId="77777777" w:rsidR="00055BFC" w:rsidRPr="00487076" w:rsidRDefault="00055BFC" w:rsidP="00B92127">
            <w:pPr>
              <w:spacing w:line="240" w:lineRule="auto"/>
              <w:rPr>
                <w:bCs/>
                <w:sz w:val="18"/>
                <w:szCs w:val="18"/>
              </w:rPr>
            </w:pPr>
          </w:p>
        </w:tc>
        <w:tc>
          <w:tcPr>
            <w:tcW w:w="2067" w:type="dxa"/>
            <w:tcBorders>
              <w:bottom w:val="single" w:sz="2" w:space="0" w:color="auto"/>
            </w:tcBorders>
            <w:shd w:val="clear" w:color="auto" w:fill="auto"/>
            <w:vAlign w:val="center"/>
          </w:tcPr>
          <w:p w14:paraId="5D688731" w14:textId="77777777" w:rsidR="00055BFC" w:rsidRPr="00487076" w:rsidRDefault="00055BFC" w:rsidP="00B92127">
            <w:pPr>
              <w:spacing w:line="240" w:lineRule="auto"/>
              <w:rPr>
                <w:bCs/>
                <w:sz w:val="18"/>
                <w:szCs w:val="18"/>
              </w:rPr>
            </w:pPr>
            <w:r>
              <w:rPr>
                <w:sz w:val="18"/>
              </w:rPr>
              <w:t>Азербайджан</w:t>
            </w:r>
          </w:p>
        </w:tc>
        <w:tc>
          <w:tcPr>
            <w:tcW w:w="5402" w:type="dxa"/>
            <w:tcBorders>
              <w:bottom w:val="single" w:sz="2" w:space="0" w:color="auto"/>
            </w:tcBorders>
            <w:shd w:val="clear" w:color="auto" w:fill="auto"/>
            <w:vAlign w:val="center"/>
          </w:tcPr>
          <w:p w14:paraId="0E174962" w14:textId="77777777" w:rsidR="00055BFC" w:rsidRPr="00487076" w:rsidRDefault="00055BFC" w:rsidP="00B92127">
            <w:pPr>
              <w:spacing w:line="240" w:lineRule="auto"/>
              <w:rPr>
                <w:bCs/>
                <w:sz w:val="18"/>
                <w:szCs w:val="18"/>
              </w:rPr>
            </w:pPr>
            <w:r>
              <w:rPr>
                <w:sz w:val="18"/>
              </w:rPr>
              <w:t>Отчет № 12 опубликован в июле 2024 года.</w:t>
            </w:r>
          </w:p>
        </w:tc>
      </w:tr>
      <w:tr w:rsidR="00055BFC" w:rsidRPr="00487076" w14:paraId="2CFB0ACC" w14:textId="77777777" w:rsidTr="00B92127">
        <w:trPr>
          <w:trHeight w:val="337"/>
        </w:trPr>
        <w:tc>
          <w:tcPr>
            <w:tcW w:w="1795" w:type="dxa"/>
            <w:vMerge/>
            <w:shd w:val="clear" w:color="auto" w:fill="auto"/>
            <w:vAlign w:val="center"/>
          </w:tcPr>
          <w:p w14:paraId="3E690759" w14:textId="77777777" w:rsidR="00055BFC" w:rsidRPr="00487076" w:rsidRDefault="00055BFC" w:rsidP="00B92127">
            <w:pPr>
              <w:spacing w:line="240" w:lineRule="auto"/>
              <w:rPr>
                <w:b/>
                <w:i/>
                <w:sz w:val="18"/>
                <w:szCs w:val="18"/>
              </w:rPr>
            </w:pPr>
          </w:p>
        </w:tc>
        <w:tc>
          <w:tcPr>
            <w:tcW w:w="723" w:type="dxa"/>
            <w:vMerge/>
            <w:shd w:val="clear" w:color="auto" w:fill="auto"/>
            <w:vAlign w:val="center"/>
          </w:tcPr>
          <w:p w14:paraId="5E4BC9B5" w14:textId="77777777" w:rsidR="00055BFC" w:rsidRPr="00487076" w:rsidRDefault="00055BFC" w:rsidP="00B92127">
            <w:pPr>
              <w:spacing w:line="240" w:lineRule="auto"/>
              <w:rPr>
                <w:bCs/>
                <w:sz w:val="18"/>
                <w:szCs w:val="18"/>
              </w:rPr>
            </w:pPr>
          </w:p>
        </w:tc>
        <w:tc>
          <w:tcPr>
            <w:tcW w:w="2067" w:type="dxa"/>
            <w:tcBorders>
              <w:bottom w:val="single" w:sz="2" w:space="0" w:color="auto"/>
            </w:tcBorders>
            <w:shd w:val="clear" w:color="auto" w:fill="auto"/>
            <w:vAlign w:val="center"/>
          </w:tcPr>
          <w:p w14:paraId="1C85FF92" w14:textId="77777777" w:rsidR="00055BFC" w:rsidRPr="00487076" w:rsidRDefault="00055BFC" w:rsidP="00B92127">
            <w:pPr>
              <w:spacing w:line="240" w:lineRule="auto"/>
              <w:rPr>
                <w:bCs/>
                <w:sz w:val="18"/>
                <w:szCs w:val="18"/>
              </w:rPr>
            </w:pPr>
            <w:r>
              <w:rPr>
                <w:sz w:val="18"/>
              </w:rPr>
              <w:t>Таиланд</w:t>
            </w:r>
          </w:p>
        </w:tc>
        <w:tc>
          <w:tcPr>
            <w:tcW w:w="5402" w:type="dxa"/>
            <w:tcBorders>
              <w:bottom w:val="single" w:sz="2" w:space="0" w:color="auto"/>
            </w:tcBorders>
            <w:shd w:val="clear" w:color="auto" w:fill="auto"/>
            <w:vAlign w:val="center"/>
          </w:tcPr>
          <w:p w14:paraId="5BAA3D35" w14:textId="77777777" w:rsidR="00055BFC" w:rsidRPr="00487076" w:rsidRDefault="00055BFC" w:rsidP="00B92127">
            <w:pPr>
              <w:spacing w:line="240" w:lineRule="auto"/>
              <w:rPr>
                <w:bCs/>
                <w:sz w:val="18"/>
                <w:szCs w:val="18"/>
              </w:rPr>
            </w:pPr>
            <w:r>
              <w:rPr>
                <w:sz w:val="18"/>
              </w:rPr>
              <w:t>Отчет № 13 опубликован в августе 2024 года.</w:t>
            </w:r>
          </w:p>
        </w:tc>
      </w:tr>
      <w:tr w:rsidR="00055BFC" w:rsidRPr="00487076" w14:paraId="7E4AC005" w14:textId="77777777" w:rsidTr="00B92127">
        <w:trPr>
          <w:trHeight w:val="337"/>
        </w:trPr>
        <w:tc>
          <w:tcPr>
            <w:tcW w:w="1795" w:type="dxa"/>
            <w:vMerge/>
            <w:shd w:val="clear" w:color="auto" w:fill="auto"/>
            <w:vAlign w:val="center"/>
          </w:tcPr>
          <w:p w14:paraId="35DA0735" w14:textId="77777777" w:rsidR="00055BFC" w:rsidRPr="00487076" w:rsidRDefault="00055BFC" w:rsidP="00B92127">
            <w:pPr>
              <w:spacing w:line="240" w:lineRule="auto"/>
              <w:rPr>
                <w:b/>
                <w:i/>
                <w:sz w:val="18"/>
                <w:szCs w:val="18"/>
              </w:rPr>
            </w:pPr>
          </w:p>
        </w:tc>
        <w:tc>
          <w:tcPr>
            <w:tcW w:w="723" w:type="dxa"/>
            <w:vMerge/>
            <w:shd w:val="clear" w:color="auto" w:fill="auto"/>
            <w:vAlign w:val="center"/>
          </w:tcPr>
          <w:p w14:paraId="08534098" w14:textId="77777777" w:rsidR="00055BFC" w:rsidRPr="00487076" w:rsidRDefault="00055BFC" w:rsidP="00B92127">
            <w:pPr>
              <w:spacing w:line="240" w:lineRule="auto"/>
              <w:rPr>
                <w:bCs/>
                <w:sz w:val="18"/>
                <w:szCs w:val="18"/>
              </w:rPr>
            </w:pPr>
          </w:p>
        </w:tc>
        <w:tc>
          <w:tcPr>
            <w:tcW w:w="2067" w:type="dxa"/>
            <w:tcBorders>
              <w:bottom w:val="single" w:sz="2" w:space="0" w:color="auto"/>
            </w:tcBorders>
            <w:shd w:val="clear" w:color="auto" w:fill="auto"/>
            <w:vAlign w:val="center"/>
          </w:tcPr>
          <w:p w14:paraId="7CE1AD81" w14:textId="77777777" w:rsidR="00055BFC" w:rsidRPr="00487076" w:rsidRDefault="00055BFC" w:rsidP="00B92127">
            <w:pPr>
              <w:spacing w:line="240" w:lineRule="auto"/>
              <w:rPr>
                <w:bCs/>
                <w:sz w:val="18"/>
                <w:szCs w:val="18"/>
              </w:rPr>
            </w:pPr>
            <w:r>
              <w:rPr>
                <w:sz w:val="18"/>
              </w:rPr>
              <w:t>Аргентина</w:t>
            </w:r>
          </w:p>
        </w:tc>
        <w:tc>
          <w:tcPr>
            <w:tcW w:w="5402" w:type="dxa"/>
            <w:tcBorders>
              <w:bottom w:val="single" w:sz="2" w:space="0" w:color="auto"/>
            </w:tcBorders>
            <w:shd w:val="clear" w:color="auto" w:fill="auto"/>
            <w:vAlign w:val="center"/>
          </w:tcPr>
          <w:p w14:paraId="78CA2718" w14:textId="77777777" w:rsidR="00055BFC" w:rsidRPr="00487076" w:rsidRDefault="00055BFC" w:rsidP="00B92127">
            <w:pPr>
              <w:spacing w:line="240" w:lineRule="auto"/>
              <w:rPr>
                <w:bCs/>
                <w:sz w:val="18"/>
                <w:szCs w:val="18"/>
              </w:rPr>
            </w:pPr>
            <w:r>
              <w:rPr>
                <w:sz w:val="18"/>
              </w:rPr>
              <w:t>Отчет № 14 опубликован в августе 2024 года.</w:t>
            </w:r>
          </w:p>
        </w:tc>
      </w:tr>
      <w:tr w:rsidR="00055BFC" w:rsidRPr="00487076" w14:paraId="1C0436EE" w14:textId="77777777" w:rsidTr="00B92127">
        <w:trPr>
          <w:trHeight w:val="337"/>
        </w:trPr>
        <w:tc>
          <w:tcPr>
            <w:tcW w:w="1795" w:type="dxa"/>
            <w:vMerge/>
            <w:shd w:val="clear" w:color="auto" w:fill="auto"/>
            <w:vAlign w:val="center"/>
          </w:tcPr>
          <w:p w14:paraId="14B58D36" w14:textId="77777777" w:rsidR="00055BFC" w:rsidRPr="00487076" w:rsidRDefault="00055BFC" w:rsidP="00B92127">
            <w:pPr>
              <w:spacing w:line="240" w:lineRule="auto"/>
              <w:rPr>
                <w:b/>
                <w:i/>
                <w:sz w:val="18"/>
                <w:szCs w:val="18"/>
              </w:rPr>
            </w:pPr>
          </w:p>
        </w:tc>
        <w:tc>
          <w:tcPr>
            <w:tcW w:w="723" w:type="dxa"/>
            <w:vMerge/>
            <w:shd w:val="clear" w:color="auto" w:fill="auto"/>
            <w:vAlign w:val="center"/>
          </w:tcPr>
          <w:p w14:paraId="13F6FACE" w14:textId="77777777" w:rsidR="00055BFC" w:rsidRPr="00487076" w:rsidRDefault="00055BFC" w:rsidP="00B92127">
            <w:pPr>
              <w:spacing w:line="240" w:lineRule="auto"/>
              <w:rPr>
                <w:bCs/>
                <w:sz w:val="18"/>
                <w:szCs w:val="18"/>
              </w:rPr>
            </w:pPr>
          </w:p>
        </w:tc>
        <w:tc>
          <w:tcPr>
            <w:tcW w:w="2067" w:type="dxa"/>
            <w:tcBorders>
              <w:bottom w:val="single" w:sz="2" w:space="0" w:color="auto"/>
            </w:tcBorders>
            <w:shd w:val="clear" w:color="auto" w:fill="auto"/>
            <w:vAlign w:val="center"/>
          </w:tcPr>
          <w:p w14:paraId="05006E6E" w14:textId="77777777" w:rsidR="00055BFC" w:rsidRPr="00487076" w:rsidRDefault="00055BFC" w:rsidP="00B92127">
            <w:pPr>
              <w:spacing w:line="240" w:lineRule="auto"/>
              <w:rPr>
                <w:bCs/>
                <w:sz w:val="18"/>
                <w:szCs w:val="18"/>
              </w:rPr>
            </w:pPr>
            <w:r>
              <w:rPr>
                <w:sz w:val="18"/>
              </w:rPr>
              <w:t>Союз Коморских островов</w:t>
            </w:r>
          </w:p>
        </w:tc>
        <w:tc>
          <w:tcPr>
            <w:tcW w:w="5402" w:type="dxa"/>
            <w:tcBorders>
              <w:bottom w:val="single" w:sz="2" w:space="0" w:color="auto"/>
            </w:tcBorders>
            <w:shd w:val="clear" w:color="auto" w:fill="auto"/>
            <w:vAlign w:val="center"/>
          </w:tcPr>
          <w:p w14:paraId="7C993146" w14:textId="77777777" w:rsidR="00055BFC" w:rsidRPr="00487076" w:rsidRDefault="00055BFC" w:rsidP="00B92127">
            <w:pPr>
              <w:spacing w:line="240" w:lineRule="auto"/>
              <w:rPr>
                <w:bCs/>
                <w:sz w:val="18"/>
                <w:szCs w:val="18"/>
              </w:rPr>
            </w:pPr>
            <w:r>
              <w:rPr>
                <w:sz w:val="18"/>
              </w:rPr>
              <w:t>Отчет № 15 опубликован в августе 2024 года.</w:t>
            </w:r>
          </w:p>
        </w:tc>
      </w:tr>
      <w:tr w:rsidR="00055BFC" w:rsidRPr="00487076" w14:paraId="6F314896" w14:textId="77777777" w:rsidTr="00B92127">
        <w:trPr>
          <w:trHeight w:val="337"/>
        </w:trPr>
        <w:tc>
          <w:tcPr>
            <w:tcW w:w="1795" w:type="dxa"/>
            <w:vMerge/>
            <w:shd w:val="clear" w:color="auto" w:fill="auto"/>
            <w:vAlign w:val="center"/>
          </w:tcPr>
          <w:p w14:paraId="68BBFC89" w14:textId="77777777" w:rsidR="00055BFC" w:rsidRPr="00487076" w:rsidRDefault="00055BFC" w:rsidP="00B92127">
            <w:pPr>
              <w:spacing w:line="240" w:lineRule="auto"/>
              <w:rPr>
                <w:b/>
                <w:i/>
                <w:sz w:val="18"/>
                <w:szCs w:val="18"/>
              </w:rPr>
            </w:pPr>
          </w:p>
        </w:tc>
        <w:tc>
          <w:tcPr>
            <w:tcW w:w="723" w:type="dxa"/>
            <w:vMerge/>
            <w:shd w:val="clear" w:color="auto" w:fill="auto"/>
            <w:vAlign w:val="center"/>
          </w:tcPr>
          <w:p w14:paraId="0ED3F6D4" w14:textId="77777777" w:rsidR="00055BFC" w:rsidRPr="00487076" w:rsidRDefault="00055BFC" w:rsidP="00B92127">
            <w:pPr>
              <w:spacing w:line="240" w:lineRule="auto"/>
              <w:rPr>
                <w:bCs/>
                <w:sz w:val="18"/>
                <w:szCs w:val="18"/>
              </w:rPr>
            </w:pPr>
          </w:p>
        </w:tc>
        <w:tc>
          <w:tcPr>
            <w:tcW w:w="2067" w:type="dxa"/>
            <w:tcBorders>
              <w:bottom w:val="single" w:sz="2" w:space="0" w:color="auto"/>
            </w:tcBorders>
            <w:shd w:val="clear" w:color="auto" w:fill="auto"/>
            <w:vAlign w:val="center"/>
          </w:tcPr>
          <w:p w14:paraId="74B0DB6F" w14:textId="77777777" w:rsidR="00055BFC" w:rsidRPr="00487076" w:rsidRDefault="00055BFC" w:rsidP="00B92127">
            <w:pPr>
              <w:spacing w:line="240" w:lineRule="auto"/>
              <w:rPr>
                <w:bCs/>
                <w:sz w:val="18"/>
                <w:szCs w:val="18"/>
              </w:rPr>
            </w:pPr>
            <w:r>
              <w:rPr>
                <w:sz w:val="18"/>
              </w:rPr>
              <w:t>Королевство Марокко</w:t>
            </w:r>
          </w:p>
        </w:tc>
        <w:tc>
          <w:tcPr>
            <w:tcW w:w="5402" w:type="dxa"/>
            <w:tcBorders>
              <w:bottom w:val="single" w:sz="2" w:space="0" w:color="auto"/>
            </w:tcBorders>
            <w:shd w:val="clear" w:color="auto" w:fill="auto"/>
            <w:vAlign w:val="center"/>
          </w:tcPr>
          <w:p w14:paraId="3FDF28E9" w14:textId="77777777" w:rsidR="00055BFC" w:rsidRPr="00487076" w:rsidRDefault="00055BFC" w:rsidP="00B92127">
            <w:pPr>
              <w:spacing w:line="240" w:lineRule="auto"/>
              <w:rPr>
                <w:bCs/>
                <w:sz w:val="18"/>
                <w:szCs w:val="18"/>
              </w:rPr>
            </w:pPr>
            <w:r>
              <w:rPr>
                <w:sz w:val="18"/>
              </w:rPr>
              <w:t>Отчет № 16 опубликован в сентябре 2024 года.</w:t>
            </w:r>
          </w:p>
        </w:tc>
      </w:tr>
      <w:tr w:rsidR="00055BFC" w:rsidRPr="00487076" w14:paraId="4C45DD12" w14:textId="77777777" w:rsidTr="00B92127">
        <w:trPr>
          <w:trHeight w:val="337"/>
        </w:trPr>
        <w:tc>
          <w:tcPr>
            <w:tcW w:w="1795" w:type="dxa"/>
            <w:vMerge/>
            <w:shd w:val="clear" w:color="auto" w:fill="auto"/>
            <w:vAlign w:val="center"/>
          </w:tcPr>
          <w:p w14:paraId="50BA8971" w14:textId="77777777" w:rsidR="00055BFC" w:rsidRPr="00487076" w:rsidRDefault="00055BFC" w:rsidP="00B92127">
            <w:pPr>
              <w:spacing w:line="240" w:lineRule="auto"/>
              <w:rPr>
                <w:b/>
                <w:i/>
                <w:sz w:val="18"/>
                <w:szCs w:val="18"/>
              </w:rPr>
            </w:pPr>
          </w:p>
        </w:tc>
        <w:tc>
          <w:tcPr>
            <w:tcW w:w="723" w:type="dxa"/>
            <w:vMerge/>
            <w:shd w:val="clear" w:color="auto" w:fill="auto"/>
            <w:vAlign w:val="center"/>
          </w:tcPr>
          <w:p w14:paraId="1F37A412" w14:textId="77777777" w:rsidR="00055BFC" w:rsidRPr="00487076" w:rsidRDefault="00055BFC" w:rsidP="00B92127">
            <w:pPr>
              <w:spacing w:line="240" w:lineRule="auto"/>
              <w:rPr>
                <w:bCs/>
                <w:sz w:val="18"/>
                <w:szCs w:val="18"/>
              </w:rPr>
            </w:pPr>
          </w:p>
        </w:tc>
        <w:tc>
          <w:tcPr>
            <w:tcW w:w="2067" w:type="dxa"/>
            <w:tcBorders>
              <w:bottom w:val="single" w:sz="2" w:space="0" w:color="auto"/>
            </w:tcBorders>
            <w:shd w:val="clear" w:color="auto" w:fill="auto"/>
            <w:vAlign w:val="center"/>
          </w:tcPr>
          <w:p w14:paraId="349E0F38" w14:textId="77777777" w:rsidR="00055BFC" w:rsidRPr="00487076" w:rsidRDefault="00055BFC" w:rsidP="00B92127">
            <w:pPr>
              <w:spacing w:line="240" w:lineRule="auto"/>
              <w:rPr>
                <w:bCs/>
                <w:sz w:val="18"/>
                <w:szCs w:val="18"/>
              </w:rPr>
            </w:pPr>
            <w:r>
              <w:rPr>
                <w:sz w:val="18"/>
              </w:rPr>
              <w:t>Куба</w:t>
            </w:r>
          </w:p>
        </w:tc>
        <w:tc>
          <w:tcPr>
            <w:tcW w:w="5402" w:type="dxa"/>
            <w:tcBorders>
              <w:bottom w:val="single" w:sz="2" w:space="0" w:color="auto"/>
            </w:tcBorders>
            <w:shd w:val="clear" w:color="auto" w:fill="auto"/>
            <w:vAlign w:val="center"/>
          </w:tcPr>
          <w:p w14:paraId="2EBAB887" w14:textId="77777777" w:rsidR="00055BFC" w:rsidRPr="00487076" w:rsidRDefault="00055BFC" w:rsidP="00B92127">
            <w:pPr>
              <w:spacing w:line="240" w:lineRule="auto"/>
              <w:rPr>
                <w:bCs/>
                <w:sz w:val="18"/>
                <w:szCs w:val="18"/>
              </w:rPr>
            </w:pPr>
            <w:r>
              <w:rPr>
                <w:sz w:val="18"/>
              </w:rPr>
              <w:t>Отчет № 17 опубликован в октябре 2024 года.</w:t>
            </w:r>
          </w:p>
        </w:tc>
      </w:tr>
      <w:tr w:rsidR="00055BFC" w:rsidRPr="00487076" w14:paraId="0B6114FA" w14:textId="77777777" w:rsidTr="00B92127">
        <w:trPr>
          <w:trHeight w:val="337"/>
        </w:trPr>
        <w:tc>
          <w:tcPr>
            <w:tcW w:w="1795" w:type="dxa"/>
            <w:vMerge/>
            <w:shd w:val="clear" w:color="auto" w:fill="auto"/>
            <w:vAlign w:val="center"/>
          </w:tcPr>
          <w:p w14:paraId="2F3EE710" w14:textId="77777777" w:rsidR="00055BFC" w:rsidRPr="00487076" w:rsidRDefault="00055BFC" w:rsidP="00B92127">
            <w:pPr>
              <w:spacing w:line="240" w:lineRule="auto"/>
              <w:rPr>
                <w:b/>
                <w:i/>
                <w:sz w:val="18"/>
                <w:szCs w:val="18"/>
              </w:rPr>
            </w:pPr>
          </w:p>
        </w:tc>
        <w:tc>
          <w:tcPr>
            <w:tcW w:w="723" w:type="dxa"/>
            <w:vMerge/>
            <w:shd w:val="clear" w:color="auto" w:fill="auto"/>
            <w:vAlign w:val="center"/>
          </w:tcPr>
          <w:p w14:paraId="1B331D64" w14:textId="77777777" w:rsidR="00055BFC" w:rsidRPr="00487076" w:rsidRDefault="00055BFC" w:rsidP="00B92127">
            <w:pPr>
              <w:spacing w:line="240" w:lineRule="auto"/>
              <w:rPr>
                <w:bCs/>
                <w:sz w:val="18"/>
                <w:szCs w:val="18"/>
              </w:rPr>
            </w:pPr>
          </w:p>
        </w:tc>
        <w:tc>
          <w:tcPr>
            <w:tcW w:w="2067" w:type="dxa"/>
            <w:tcBorders>
              <w:bottom w:val="single" w:sz="2" w:space="0" w:color="auto"/>
            </w:tcBorders>
            <w:shd w:val="clear" w:color="auto" w:fill="auto"/>
            <w:vAlign w:val="center"/>
          </w:tcPr>
          <w:p w14:paraId="12FB513C" w14:textId="77777777" w:rsidR="00055BFC" w:rsidRPr="00487076" w:rsidRDefault="00055BFC" w:rsidP="00B92127">
            <w:pPr>
              <w:spacing w:line="240" w:lineRule="auto"/>
              <w:rPr>
                <w:bCs/>
                <w:sz w:val="18"/>
                <w:szCs w:val="18"/>
              </w:rPr>
            </w:pPr>
            <w:r>
              <w:rPr>
                <w:sz w:val="18"/>
              </w:rPr>
              <w:t>Албания</w:t>
            </w:r>
          </w:p>
        </w:tc>
        <w:tc>
          <w:tcPr>
            <w:tcW w:w="5402" w:type="dxa"/>
            <w:tcBorders>
              <w:bottom w:val="single" w:sz="2" w:space="0" w:color="auto"/>
            </w:tcBorders>
            <w:shd w:val="clear" w:color="auto" w:fill="auto"/>
            <w:vAlign w:val="center"/>
          </w:tcPr>
          <w:p w14:paraId="4E681E59" w14:textId="77777777" w:rsidR="00055BFC" w:rsidRPr="00487076" w:rsidRDefault="00055BFC" w:rsidP="00B92127">
            <w:pPr>
              <w:spacing w:line="240" w:lineRule="auto"/>
              <w:rPr>
                <w:bCs/>
                <w:sz w:val="18"/>
                <w:szCs w:val="18"/>
              </w:rPr>
            </w:pPr>
            <w:r>
              <w:rPr>
                <w:sz w:val="18"/>
              </w:rPr>
              <w:t>Отчет № 18 опубликован в октябре 2024 года.</w:t>
            </w:r>
          </w:p>
        </w:tc>
      </w:tr>
      <w:tr w:rsidR="00055BFC" w:rsidRPr="00487076" w14:paraId="6A099D3C" w14:textId="77777777" w:rsidTr="00B92127">
        <w:trPr>
          <w:trHeight w:val="337"/>
        </w:trPr>
        <w:tc>
          <w:tcPr>
            <w:tcW w:w="1795" w:type="dxa"/>
            <w:vMerge/>
            <w:shd w:val="clear" w:color="auto" w:fill="auto"/>
            <w:vAlign w:val="center"/>
          </w:tcPr>
          <w:p w14:paraId="266E69BA" w14:textId="77777777" w:rsidR="00055BFC" w:rsidRPr="00487076" w:rsidRDefault="00055BFC" w:rsidP="00B92127">
            <w:pPr>
              <w:spacing w:line="240" w:lineRule="auto"/>
              <w:rPr>
                <w:b/>
                <w:i/>
                <w:sz w:val="18"/>
                <w:szCs w:val="18"/>
              </w:rPr>
            </w:pPr>
          </w:p>
        </w:tc>
        <w:tc>
          <w:tcPr>
            <w:tcW w:w="723" w:type="dxa"/>
            <w:vMerge/>
            <w:shd w:val="clear" w:color="auto" w:fill="auto"/>
            <w:vAlign w:val="center"/>
          </w:tcPr>
          <w:p w14:paraId="74DAD32B" w14:textId="77777777" w:rsidR="00055BFC" w:rsidRPr="00487076" w:rsidRDefault="00055BFC" w:rsidP="00B92127">
            <w:pPr>
              <w:spacing w:line="240" w:lineRule="auto"/>
              <w:rPr>
                <w:bCs/>
                <w:sz w:val="18"/>
                <w:szCs w:val="18"/>
              </w:rPr>
            </w:pPr>
          </w:p>
        </w:tc>
        <w:tc>
          <w:tcPr>
            <w:tcW w:w="2067" w:type="dxa"/>
            <w:tcBorders>
              <w:bottom w:val="single" w:sz="2" w:space="0" w:color="auto"/>
            </w:tcBorders>
            <w:shd w:val="clear" w:color="auto" w:fill="auto"/>
            <w:vAlign w:val="center"/>
          </w:tcPr>
          <w:p w14:paraId="09E40738" w14:textId="77777777" w:rsidR="00055BFC" w:rsidRPr="00487076" w:rsidRDefault="00055BFC" w:rsidP="00B92127">
            <w:pPr>
              <w:spacing w:line="240" w:lineRule="auto"/>
              <w:rPr>
                <w:bCs/>
                <w:sz w:val="18"/>
                <w:szCs w:val="18"/>
              </w:rPr>
            </w:pPr>
            <w:r>
              <w:rPr>
                <w:sz w:val="18"/>
              </w:rPr>
              <w:t>Таджикистан</w:t>
            </w:r>
          </w:p>
        </w:tc>
        <w:tc>
          <w:tcPr>
            <w:tcW w:w="5402" w:type="dxa"/>
            <w:tcBorders>
              <w:bottom w:val="single" w:sz="2" w:space="0" w:color="auto"/>
            </w:tcBorders>
            <w:shd w:val="clear" w:color="auto" w:fill="auto"/>
            <w:vAlign w:val="center"/>
          </w:tcPr>
          <w:p w14:paraId="0BF5A6B8" w14:textId="77777777" w:rsidR="00055BFC" w:rsidRPr="00487076" w:rsidRDefault="00055BFC" w:rsidP="00B92127">
            <w:pPr>
              <w:spacing w:line="240" w:lineRule="auto"/>
              <w:rPr>
                <w:bCs/>
                <w:sz w:val="18"/>
                <w:szCs w:val="18"/>
              </w:rPr>
            </w:pPr>
            <w:r>
              <w:rPr>
                <w:sz w:val="18"/>
              </w:rPr>
              <w:t>Отчет № 19 опубликован в октябре 2024 года.</w:t>
            </w:r>
          </w:p>
        </w:tc>
      </w:tr>
      <w:tr w:rsidR="00055BFC" w:rsidRPr="00487076" w14:paraId="5A6B96C9" w14:textId="77777777" w:rsidTr="00B92127">
        <w:trPr>
          <w:trHeight w:val="337"/>
        </w:trPr>
        <w:tc>
          <w:tcPr>
            <w:tcW w:w="1795" w:type="dxa"/>
            <w:vMerge/>
            <w:shd w:val="clear" w:color="auto" w:fill="auto"/>
            <w:vAlign w:val="center"/>
          </w:tcPr>
          <w:p w14:paraId="0DE1F013" w14:textId="77777777" w:rsidR="00055BFC" w:rsidRPr="00487076" w:rsidRDefault="00055BFC" w:rsidP="00B92127">
            <w:pPr>
              <w:spacing w:line="240" w:lineRule="auto"/>
              <w:rPr>
                <w:b/>
                <w:i/>
                <w:sz w:val="18"/>
                <w:szCs w:val="18"/>
              </w:rPr>
            </w:pPr>
          </w:p>
        </w:tc>
        <w:tc>
          <w:tcPr>
            <w:tcW w:w="723" w:type="dxa"/>
            <w:vMerge/>
            <w:shd w:val="clear" w:color="auto" w:fill="auto"/>
            <w:vAlign w:val="center"/>
          </w:tcPr>
          <w:p w14:paraId="2FC3C43F" w14:textId="77777777" w:rsidR="00055BFC" w:rsidRPr="00487076" w:rsidRDefault="00055BFC" w:rsidP="00B92127">
            <w:pPr>
              <w:spacing w:line="240" w:lineRule="auto"/>
              <w:rPr>
                <w:bCs/>
                <w:sz w:val="18"/>
                <w:szCs w:val="18"/>
              </w:rPr>
            </w:pPr>
          </w:p>
        </w:tc>
        <w:tc>
          <w:tcPr>
            <w:tcW w:w="2067" w:type="dxa"/>
            <w:tcBorders>
              <w:bottom w:val="single" w:sz="2" w:space="0" w:color="auto"/>
            </w:tcBorders>
            <w:shd w:val="clear" w:color="auto" w:fill="auto"/>
            <w:vAlign w:val="center"/>
          </w:tcPr>
          <w:p w14:paraId="044C7956" w14:textId="77777777" w:rsidR="00055BFC" w:rsidRPr="00487076" w:rsidRDefault="00055BFC" w:rsidP="00B92127">
            <w:pPr>
              <w:spacing w:line="240" w:lineRule="auto"/>
              <w:rPr>
                <w:bCs/>
                <w:sz w:val="18"/>
                <w:szCs w:val="18"/>
              </w:rPr>
            </w:pPr>
            <w:r>
              <w:rPr>
                <w:sz w:val="18"/>
              </w:rPr>
              <w:t>Доминиканская Республика</w:t>
            </w:r>
          </w:p>
        </w:tc>
        <w:tc>
          <w:tcPr>
            <w:tcW w:w="5402" w:type="dxa"/>
            <w:tcBorders>
              <w:bottom w:val="single" w:sz="2" w:space="0" w:color="auto"/>
            </w:tcBorders>
            <w:shd w:val="clear" w:color="auto" w:fill="auto"/>
            <w:vAlign w:val="center"/>
          </w:tcPr>
          <w:p w14:paraId="04D7808F" w14:textId="77777777" w:rsidR="00055BFC" w:rsidRPr="00487076" w:rsidRDefault="00055BFC" w:rsidP="00B92127">
            <w:pPr>
              <w:spacing w:line="240" w:lineRule="auto"/>
              <w:rPr>
                <w:bCs/>
                <w:sz w:val="18"/>
                <w:szCs w:val="18"/>
              </w:rPr>
            </w:pPr>
            <w:r>
              <w:rPr>
                <w:sz w:val="18"/>
              </w:rPr>
              <w:t>Отчет № 20 опубликован в октябре 2024 года.</w:t>
            </w:r>
          </w:p>
        </w:tc>
      </w:tr>
      <w:tr w:rsidR="00055BFC" w:rsidRPr="00487076" w14:paraId="482FC017" w14:textId="77777777" w:rsidTr="00B92127">
        <w:trPr>
          <w:trHeight w:val="337"/>
        </w:trPr>
        <w:tc>
          <w:tcPr>
            <w:tcW w:w="1795" w:type="dxa"/>
            <w:vMerge/>
            <w:shd w:val="clear" w:color="auto" w:fill="auto"/>
            <w:vAlign w:val="center"/>
          </w:tcPr>
          <w:p w14:paraId="6C8476A2" w14:textId="77777777" w:rsidR="00055BFC" w:rsidRPr="00487076" w:rsidRDefault="00055BFC" w:rsidP="00B92127">
            <w:pPr>
              <w:spacing w:line="240" w:lineRule="auto"/>
              <w:rPr>
                <w:b/>
                <w:i/>
                <w:sz w:val="18"/>
                <w:szCs w:val="18"/>
              </w:rPr>
            </w:pPr>
          </w:p>
        </w:tc>
        <w:tc>
          <w:tcPr>
            <w:tcW w:w="723" w:type="dxa"/>
            <w:vMerge/>
            <w:shd w:val="clear" w:color="auto" w:fill="auto"/>
            <w:vAlign w:val="center"/>
          </w:tcPr>
          <w:p w14:paraId="30C807FC" w14:textId="77777777" w:rsidR="00055BFC" w:rsidRPr="00487076" w:rsidRDefault="00055BFC" w:rsidP="00B92127">
            <w:pPr>
              <w:spacing w:line="240" w:lineRule="auto"/>
              <w:rPr>
                <w:bCs/>
                <w:sz w:val="18"/>
                <w:szCs w:val="18"/>
              </w:rPr>
            </w:pPr>
          </w:p>
        </w:tc>
        <w:tc>
          <w:tcPr>
            <w:tcW w:w="2067" w:type="dxa"/>
            <w:tcBorders>
              <w:bottom w:val="single" w:sz="2" w:space="0" w:color="auto"/>
            </w:tcBorders>
            <w:shd w:val="clear" w:color="auto" w:fill="auto"/>
            <w:vAlign w:val="center"/>
          </w:tcPr>
          <w:p w14:paraId="04E70E04" w14:textId="77777777" w:rsidR="00055BFC" w:rsidRPr="00487076" w:rsidRDefault="00055BFC" w:rsidP="00B92127">
            <w:pPr>
              <w:spacing w:line="240" w:lineRule="auto"/>
              <w:rPr>
                <w:bCs/>
                <w:sz w:val="18"/>
                <w:szCs w:val="18"/>
              </w:rPr>
            </w:pPr>
            <w:r>
              <w:rPr>
                <w:sz w:val="18"/>
              </w:rPr>
              <w:t>Филиппины</w:t>
            </w:r>
          </w:p>
        </w:tc>
        <w:tc>
          <w:tcPr>
            <w:tcW w:w="5402" w:type="dxa"/>
            <w:tcBorders>
              <w:bottom w:val="single" w:sz="2" w:space="0" w:color="auto"/>
            </w:tcBorders>
            <w:shd w:val="clear" w:color="auto" w:fill="auto"/>
            <w:vAlign w:val="center"/>
          </w:tcPr>
          <w:p w14:paraId="2F115D29" w14:textId="77777777" w:rsidR="00055BFC" w:rsidRPr="00487076" w:rsidRDefault="00055BFC" w:rsidP="00B92127">
            <w:pPr>
              <w:spacing w:line="240" w:lineRule="auto"/>
              <w:rPr>
                <w:bCs/>
                <w:sz w:val="18"/>
                <w:szCs w:val="18"/>
              </w:rPr>
            </w:pPr>
            <w:r>
              <w:rPr>
                <w:sz w:val="18"/>
              </w:rPr>
              <w:t>Отчет № 21 опубликован в ноябре 2024 года.</w:t>
            </w:r>
          </w:p>
        </w:tc>
      </w:tr>
      <w:tr w:rsidR="00055BFC" w:rsidRPr="00487076" w14:paraId="5B95AF7C" w14:textId="77777777" w:rsidTr="00B92127">
        <w:trPr>
          <w:trHeight w:val="337"/>
        </w:trPr>
        <w:tc>
          <w:tcPr>
            <w:tcW w:w="1795" w:type="dxa"/>
            <w:vMerge/>
            <w:shd w:val="clear" w:color="auto" w:fill="auto"/>
            <w:vAlign w:val="center"/>
          </w:tcPr>
          <w:p w14:paraId="6AE91628" w14:textId="77777777" w:rsidR="00055BFC" w:rsidRPr="00487076" w:rsidRDefault="00055BFC" w:rsidP="00B92127">
            <w:pPr>
              <w:spacing w:line="240" w:lineRule="auto"/>
              <w:rPr>
                <w:b/>
                <w:i/>
                <w:sz w:val="18"/>
                <w:szCs w:val="18"/>
              </w:rPr>
            </w:pPr>
          </w:p>
        </w:tc>
        <w:tc>
          <w:tcPr>
            <w:tcW w:w="723" w:type="dxa"/>
            <w:vMerge/>
            <w:shd w:val="clear" w:color="auto" w:fill="auto"/>
            <w:vAlign w:val="center"/>
          </w:tcPr>
          <w:p w14:paraId="0B03FAA4" w14:textId="77777777" w:rsidR="00055BFC" w:rsidRPr="00487076" w:rsidRDefault="00055BFC" w:rsidP="00B92127">
            <w:pPr>
              <w:spacing w:line="240" w:lineRule="auto"/>
              <w:rPr>
                <w:bCs/>
                <w:sz w:val="18"/>
                <w:szCs w:val="18"/>
              </w:rPr>
            </w:pPr>
          </w:p>
        </w:tc>
        <w:tc>
          <w:tcPr>
            <w:tcW w:w="2067" w:type="dxa"/>
            <w:tcBorders>
              <w:bottom w:val="single" w:sz="2" w:space="0" w:color="auto"/>
            </w:tcBorders>
            <w:shd w:val="clear" w:color="auto" w:fill="auto"/>
            <w:vAlign w:val="center"/>
          </w:tcPr>
          <w:p w14:paraId="32B30DAA" w14:textId="77777777" w:rsidR="00055BFC" w:rsidRPr="00487076" w:rsidRDefault="00055BFC" w:rsidP="00B92127">
            <w:pPr>
              <w:spacing w:line="240" w:lineRule="auto"/>
              <w:rPr>
                <w:bCs/>
                <w:sz w:val="18"/>
                <w:szCs w:val="18"/>
              </w:rPr>
            </w:pPr>
            <w:r>
              <w:rPr>
                <w:sz w:val="18"/>
              </w:rPr>
              <w:t>Демократическая Республика Конго</w:t>
            </w:r>
          </w:p>
        </w:tc>
        <w:tc>
          <w:tcPr>
            <w:tcW w:w="5402" w:type="dxa"/>
            <w:tcBorders>
              <w:bottom w:val="single" w:sz="2" w:space="0" w:color="auto"/>
            </w:tcBorders>
            <w:shd w:val="clear" w:color="auto" w:fill="auto"/>
            <w:vAlign w:val="center"/>
          </w:tcPr>
          <w:p w14:paraId="1A20136B" w14:textId="77777777" w:rsidR="00055BFC" w:rsidRPr="00487076" w:rsidRDefault="00055BFC" w:rsidP="00B92127">
            <w:pPr>
              <w:spacing w:line="240" w:lineRule="auto"/>
              <w:rPr>
                <w:bCs/>
                <w:sz w:val="18"/>
                <w:szCs w:val="18"/>
              </w:rPr>
            </w:pPr>
            <w:r>
              <w:rPr>
                <w:sz w:val="18"/>
              </w:rPr>
              <w:t xml:space="preserve">Отчет № 24 опубликован в декабре 2024 года. </w:t>
            </w:r>
          </w:p>
        </w:tc>
      </w:tr>
      <w:tr w:rsidR="00055BFC" w:rsidRPr="00487076" w14:paraId="7B0DE150" w14:textId="77777777" w:rsidTr="00B92127">
        <w:trPr>
          <w:trHeight w:val="337"/>
        </w:trPr>
        <w:tc>
          <w:tcPr>
            <w:tcW w:w="1795" w:type="dxa"/>
            <w:vMerge/>
            <w:shd w:val="clear" w:color="auto" w:fill="auto"/>
            <w:vAlign w:val="center"/>
          </w:tcPr>
          <w:p w14:paraId="187A0A0E" w14:textId="77777777" w:rsidR="00055BFC" w:rsidRPr="00487076" w:rsidRDefault="00055BFC" w:rsidP="00B92127">
            <w:pPr>
              <w:spacing w:line="240" w:lineRule="auto"/>
              <w:rPr>
                <w:b/>
                <w:i/>
                <w:sz w:val="18"/>
                <w:szCs w:val="18"/>
              </w:rPr>
            </w:pPr>
          </w:p>
        </w:tc>
        <w:tc>
          <w:tcPr>
            <w:tcW w:w="723" w:type="dxa"/>
            <w:vMerge/>
            <w:shd w:val="clear" w:color="auto" w:fill="auto"/>
            <w:vAlign w:val="center"/>
          </w:tcPr>
          <w:p w14:paraId="1CE0850B" w14:textId="77777777" w:rsidR="00055BFC" w:rsidRPr="00487076" w:rsidRDefault="00055BFC" w:rsidP="00B92127">
            <w:pPr>
              <w:spacing w:line="240" w:lineRule="auto"/>
              <w:rPr>
                <w:bCs/>
                <w:sz w:val="18"/>
                <w:szCs w:val="18"/>
              </w:rPr>
            </w:pPr>
          </w:p>
        </w:tc>
        <w:tc>
          <w:tcPr>
            <w:tcW w:w="2067" w:type="dxa"/>
            <w:tcBorders>
              <w:bottom w:val="single" w:sz="2" w:space="0" w:color="auto"/>
            </w:tcBorders>
            <w:shd w:val="clear" w:color="auto" w:fill="auto"/>
            <w:vAlign w:val="center"/>
          </w:tcPr>
          <w:p w14:paraId="6C5CB52F" w14:textId="77777777" w:rsidR="00055BFC" w:rsidRPr="00487076" w:rsidRDefault="00055BFC" w:rsidP="00B92127">
            <w:pPr>
              <w:spacing w:line="240" w:lineRule="auto"/>
              <w:rPr>
                <w:bCs/>
                <w:sz w:val="18"/>
                <w:szCs w:val="18"/>
              </w:rPr>
            </w:pPr>
            <w:r>
              <w:rPr>
                <w:sz w:val="18"/>
              </w:rPr>
              <w:t>Ангола</w:t>
            </w:r>
          </w:p>
        </w:tc>
        <w:tc>
          <w:tcPr>
            <w:tcW w:w="5402" w:type="dxa"/>
            <w:tcBorders>
              <w:bottom w:val="single" w:sz="2" w:space="0" w:color="auto"/>
            </w:tcBorders>
            <w:shd w:val="clear" w:color="auto" w:fill="auto"/>
            <w:vAlign w:val="center"/>
          </w:tcPr>
          <w:p w14:paraId="3B9FC323" w14:textId="77777777" w:rsidR="00055BFC" w:rsidRPr="00487076" w:rsidRDefault="00055BFC" w:rsidP="00B92127">
            <w:pPr>
              <w:spacing w:line="240" w:lineRule="auto"/>
              <w:rPr>
                <w:bCs/>
                <w:sz w:val="18"/>
                <w:szCs w:val="18"/>
              </w:rPr>
            </w:pPr>
            <w:r>
              <w:rPr>
                <w:sz w:val="18"/>
              </w:rPr>
              <w:t>Отчет № 25 опубликован в декабре 2024 года.</w:t>
            </w:r>
          </w:p>
        </w:tc>
      </w:tr>
      <w:tr w:rsidR="00055BFC" w:rsidRPr="00487076" w14:paraId="29CD5B3E" w14:textId="77777777" w:rsidTr="00B92127">
        <w:trPr>
          <w:trHeight w:val="337"/>
        </w:trPr>
        <w:tc>
          <w:tcPr>
            <w:tcW w:w="1795" w:type="dxa"/>
            <w:vMerge/>
            <w:shd w:val="clear" w:color="auto" w:fill="auto"/>
            <w:vAlign w:val="center"/>
          </w:tcPr>
          <w:p w14:paraId="5E89C4D4" w14:textId="77777777" w:rsidR="00055BFC" w:rsidRPr="00487076" w:rsidRDefault="00055BFC" w:rsidP="00B92127">
            <w:pPr>
              <w:spacing w:line="240" w:lineRule="auto"/>
              <w:rPr>
                <w:b/>
                <w:i/>
                <w:sz w:val="18"/>
                <w:szCs w:val="18"/>
              </w:rPr>
            </w:pPr>
          </w:p>
        </w:tc>
        <w:tc>
          <w:tcPr>
            <w:tcW w:w="723" w:type="dxa"/>
            <w:vMerge/>
            <w:shd w:val="clear" w:color="auto" w:fill="auto"/>
            <w:vAlign w:val="center"/>
          </w:tcPr>
          <w:p w14:paraId="6650E223" w14:textId="77777777" w:rsidR="00055BFC" w:rsidRPr="00487076" w:rsidRDefault="00055BFC" w:rsidP="00B92127">
            <w:pPr>
              <w:spacing w:line="240" w:lineRule="auto"/>
              <w:rPr>
                <w:bCs/>
                <w:sz w:val="18"/>
                <w:szCs w:val="18"/>
              </w:rPr>
            </w:pPr>
          </w:p>
        </w:tc>
        <w:tc>
          <w:tcPr>
            <w:tcW w:w="2067" w:type="dxa"/>
            <w:tcBorders>
              <w:bottom w:val="single" w:sz="2" w:space="0" w:color="auto"/>
            </w:tcBorders>
            <w:shd w:val="clear" w:color="auto" w:fill="auto"/>
            <w:vAlign w:val="center"/>
          </w:tcPr>
          <w:p w14:paraId="480052D9" w14:textId="77777777" w:rsidR="00055BFC" w:rsidRPr="00487076" w:rsidRDefault="00055BFC" w:rsidP="00B92127">
            <w:pPr>
              <w:spacing w:line="240" w:lineRule="auto"/>
              <w:rPr>
                <w:bCs/>
                <w:sz w:val="18"/>
                <w:szCs w:val="18"/>
              </w:rPr>
            </w:pPr>
            <w:r>
              <w:rPr>
                <w:sz w:val="18"/>
              </w:rPr>
              <w:t>Йемен</w:t>
            </w:r>
          </w:p>
        </w:tc>
        <w:tc>
          <w:tcPr>
            <w:tcW w:w="5402" w:type="dxa"/>
            <w:tcBorders>
              <w:bottom w:val="single" w:sz="2" w:space="0" w:color="auto"/>
            </w:tcBorders>
            <w:shd w:val="clear" w:color="auto" w:fill="auto"/>
            <w:vAlign w:val="center"/>
          </w:tcPr>
          <w:p w14:paraId="4F772B85" w14:textId="77777777" w:rsidR="00055BFC" w:rsidRPr="00487076" w:rsidRDefault="00055BFC" w:rsidP="00B92127">
            <w:pPr>
              <w:spacing w:line="240" w:lineRule="auto"/>
              <w:rPr>
                <w:bCs/>
                <w:sz w:val="18"/>
                <w:szCs w:val="18"/>
              </w:rPr>
            </w:pPr>
            <w:r>
              <w:rPr>
                <w:sz w:val="18"/>
              </w:rPr>
              <w:t>Отчет № 28 опубликован в декабре 2024 года.</w:t>
            </w:r>
          </w:p>
        </w:tc>
      </w:tr>
      <w:tr w:rsidR="00055BFC" w:rsidRPr="00487076" w14:paraId="35F246EA" w14:textId="77777777" w:rsidTr="00B92127">
        <w:trPr>
          <w:trHeight w:val="337"/>
        </w:trPr>
        <w:tc>
          <w:tcPr>
            <w:tcW w:w="1795" w:type="dxa"/>
            <w:vMerge/>
            <w:shd w:val="clear" w:color="auto" w:fill="auto"/>
            <w:vAlign w:val="center"/>
          </w:tcPr>
          <w:p w14:paraId="46322FC4" w14:textId="77777777" w:rsidR="00055BFC" w:rsidRPr="00487076" w:rsidRDefault="00055BFC" w:rsidP="00B92127">
            <w:pPr>
              <w:spacing w:line="240" w:lineRule="auto"/>
              <w:rPr>
                <w:b/>
                <w:i/>
                <w:sz w:val="18"/>
                <w:szCs w:val="18"/>
              </w:rPr>
            </w:pPr>
          </w:p>
        </w:tc>
        <w:tc>
          <w:tcPr>
            <w:tcW w:w="723" w:type="dxa"/>
            <w:vMerge/>
            <w:shd w:val="clear" w:color="auto" w:fill="auto"/>
            <w:vAlign w:val="center"/>
          </w:tcPr>
          <w:p w14:paraId="0E5F4EAB" w14:textId="77777777" w:rsidR="00055BFC" w:rsidRPr="00487076" w:rsidRDefault="00055BFC" w:rsidP="00B92127">
            <w:pPr>
              <w:spacing w:line="240" w:lineRule="auto"/>
              <w:rPr>
                <w:bCs/>
                <w:sz w:val="18"/>
                <w:szCs w:val="18"/>
              </w:rPr>
            </w:pPr>
          </w:p>
        </w:tc>
        <w:tc>
          <w:tcPr>
            <w:tcW w:w="2067" w:type="dxa"/>
            <w:tcBorders>
              <w:bottom w:val="single" w:sz="2" w:space="0" w:color="auto"/>
            </w:tcBorders>
            <w:shd w:val="clear" w:color="auto" w:fill="auto"/>
            <w:vAlign w:val="center"/>
          </w:tcPr>
          <w:p w14:paraId="7959AF23" w14:textId="77777777" w:rsidR="00055BFC" w:rsidRPr="00487076" w:rsidRDefault="00055BFC" w:rsidP="00B92127">
            <w:pPr>
              <w:spacing w:line="240" w:lineRule="auto"/>
              <w:rPr>
                <w:bCs/>
                <w:sz w:val="18"/>
                <w:szCs w:val="18"/>
              </w:rPr>
            </w:pPr>
            <w:r>
              <w:rPr>
                <w:sz w:val="18"/>
              </w:rPr>
              <w:t>Уругвай</w:t>
            </w:r>
          </w:p>
        </w:tc>
        <w:tc>
          <w:tcPr>
            <w:tcW w:w="5402" w:type="dxa"/>
            <w:tcBorders>
              <w:bottom w:val="single" w:sz="2" w:space="0" w:color="auto"/>
            </w:tcBorders>
            <w:shd w:val="clear" w:color="auto" w:fill="auto"/>
            <w:vAlign w:val="center"/>
          </w:tcPr>
          <w:p w14:paraId="00A0DAB0" w14:textId="77777777" w:rsidR="00055BFC" w:rsidRPr="00487076" w:rsidRDefault="00055BFC" w:rsidP="00B92127">
            <w:pPr>
              <w:spacing w:line="240" w:lineRule="auto"/>
              <w:rPr>
                <w:bCs/>
                <w:sz w:val="18"/>
                <w:szCs w:val="18"/>
              </w:rPr>
            </w:pPr>
            <w:r>
              <w:rPr>
                <w:sz w:val="18"/>
              </w:rPr>
              <w:t>Отчет № 1 опубликован в январе 2025 года.</w:t>
            </w:r>
          </w:p>
        </w:tc>
      </w:tr>
      <w:tr w:rsidR="00055BFC" w:rsidRPr="00487076" w14:paraId="72453949" w14:textId="77777777" w:rsidTr="00B92127">
        <w:trPr>
          <w:trHeight w:val="337"/>
        </w:trPr>
        <w:tc>
          <w:tcPr>
            <w:tcW w:w="1795" w:type="dxa"/>
            <w:vMerge/>
            <w:shd w:val="clear" w:color="auto" w:fill="auto"/>
            <w:vAlign w:val="center"/>
          </w:tcPr>
          <w:p w14:paraId="2A974299" w14:textId="77777777" w:rsidR="00055BFC" w:rsidRPr="00487076" w:rsidRDefault="00055BFC" w:rsidP="00B92127">
            <w:pPr>
              <w:spacing w:line="240" w:lineRule="auto"/>
              <w:rPr>
                <w:b/>
                <w:i/>
                <w:sz w:val="18"/>
                <w:szCs w:val="18"/>
              </w:rPr>
            </w:pPr>
          </w:p>
        </w:tc>
        <w:tc>
          <w:tcPr>
            <w:tcW w:w="723" w:type="dxa"/>
            <w:vMerge/>
            <w:shd w:val="clear" w:color="auto" w:fill="auto"/>
            <w:vAlign w:val="center"/>
          </w:tcPr>
          <w:p w14:paraId="07E2A062" w14:textId="77777777" w:rsidR="00055BFC" w:rsidRPr="00487076" w:rsidRDefault="00055BFC" w:rsidP="00B92127">
            <w:pPr>
              <w:spacing w:line="240" w:lineRule="auto"/>
              <w:rPr>
                <w:bCs/>
                <w:sz w:val="18"/>
                <w:szCs w:val="18"/>
              </w:rPr>
            </w:pPr>
          </w:p>
        </w:tc>
        <w:tc>
          <w:tcPr>
            <w:tcW w:w="2067" w:type="dxa"/>
            <w:tcBorders>
              <w:bottom w:val="single" w:sz="2" w:space="0" w:color="auto"/>
            </w:tcBorders>
            <w:shd w:val="clear" w:color="auto" w:fill="auto"/>
            <w:vAlign w:val="center"/>
          </w:tcPr>
          <w:p w14:paraId="1C2F76F1" w14:textId="77777777" w:rsidR="00055BFC" w:rsidRPr="00487076" w:rsidRDefault="00055BFC" w:rsidP="00B92127">
            <w:pPr>
              <w:spacing w:line="240" w:lineRule="auto"/>
              <w:rPr>
                <w:bCs/>
                <w:sz w:val="18"/>
                <w:szCs w:val="18"/>
              </w:rPr>
            </w:pPr>
            <w:r>
              <w:rPr>
                <w:sz w:val="18"/>
              </w:rPr>
              <w:t>Мьянма</w:t>
            </w:r>
          </w:p>
        </w:tc>
        <w:tc>
          <w:tcPr>
            <w:tcW w:w="5402" w:type="dxa"/>
            <w:tcBorders>
              <w:bottom w:val="single" w:sz="2" w:space="0" w:color="auto"/>
            </w:tcBorders>
            <w:shd w:val="clear" w:color="auto" w:fill="auto"/>
            <w:vAlign w:val="center"/>
          </w:tcPr>
          <w:p w14:paraId="63F2BCE3" w14:textId="77777777" w:rsidR="00055BFC" w:rsidRPr="00487076" w:rsidRDefault="00055BFC" w:rsidP="00B92127">
            <w:pPr>
              <w:spacing w:line="240" w:lineRule="auto"/>
              <w:rPr>
                <w:bCs/>
                <w:sz w:val="18"/>
                <w:szCs w:val="18"/>
              </w:rPr>
            </w:pPr>
            <w:r>
              <w:rPr>
                <w:sz w:val="18"/>
              </w:rPr>
              <w:t>Отчет № 3 опубликован в феврале 2025 года.</w:t>
            </w:r>
          </w:p>
        </w:tc>
      </w:tr>
      <w:tr w:rsidR="00055BFC" w:rsidRPr="00487076" w14:paraId="17F64CE9" w14:textId="77777777" w:rsidTr="00B92127">
        <w:trPr>
          <w:trHeight w:val="337"/>
        </w:trPr>
        <w:tc>
          <w:tcPr>
            <w:tcW w:w="1795" w:type="dxa"/>
            <w:vMerge/>
            <w:shd w:val="clear" w:color="auto" w:fill="auto"/>
            <w:vAlign w:val="center"/>
          </w:tcPr>
          <w:p w14:paraId="64B3AA24" w14:textId="77777777" w:rsidR="00055BFC" w:rsidRPr="00487076" w:rsidRDefault="00055BFC" w:rsidP="00B92127">
            <w:pPr>
              <w:spacing w:line="240" w:lineRule="auto"/>
              <w:rPr>
                <w:b/>
                <w:i/>
                <w:sz w:val="18"/>
                <w:szCs w:val="18"/>
              </w:rPr>
            </w:pPr>
          </w:p>
        </w:tc>
        <w:tc>
          <w:tcPr>
            <w:tcW w:w="723" w:type="dxa"/>
            <w:vMerge/>
            <w:shd w:val="clear" w:color="auto" w:fill="auto"/>
            <w:vAlign w:val="center"/>
          </w:tcPr>
          <w:p w14:paraId="5B931466" w14:textId="77777777" w:rsidR="00055BFC" w:rsidRPr="00487076" w:rsidRDefault="00055BFC" w:rsidP="00B92127">
            <w:pPr>
              <w:spacing w:line="240" w:lineRule="auto"/>
              <w:rPr>
                <w:bCs/>
                <w:sz w:val="18"/>
                <w:szCs w:val="18"/>
              </w:rPr>
            </w:pPr>
          </w:p>
        </w:tc>
        <w:tc>
          <w:tcPr>
            <w:tcW w:w="2067" w:type="dxa"/>
            <w:tcBorders>
              <w:bottom w:val="single" w:sz="2" w:space="0" w:color="auto"/>
            </w:tcBorders>
            <w:shd w:val="clear" w:color="auto" w:fill="auto"/>
            <w:vAlign w:val="center"/>
          </w:tcPr>
          <w:p w14:paraId="3482676B" w14:textId="77777777" w:rsidR="00055BFC" w:rsidRPr="00487076" w:rsidRDefault="00055BFC" w:rsidP="00B92127">
            <w:pPr>
              <w:spacing w:line="240" w:lineRule="auto"/>
              <w:rPr>
                <w:bCs/>
                <w:sz w:val="18"/>
                <w:szCs w:val="18"/>
              </w:rPr>
            </w:pPr>
            <w:r>
              <w:rPr>
                <w:sz w:val="18"/>
              </w:rPr>
              <w:t>Эсватини</w:t>
            </w:r>
          </w:p>
        </w:tc>
        <w:tc>
          <w:tcPr>
            <w:tcW w:w="5402" w:type="dxa"/>
            <w:tcBorders>
              <w:bottom w:val="single" w:sz="2" w:space="0" w:color="auto"/>
            </w:tcBorders>
            <w:shd w:val="clear" w:color="auto" w:fill="auto"/>
            <w:vAlign w:val="center"/>
          </w:tcPr>
          <w:p w14:paraId="09C64FF6" w14:textId="77777777" w:rsidR="00055BFC" w:rsidRPr="00487076" w:rsidRDefault="00055BFC" w:rsidP="00B92127">
            <w:pPr>
              <w:spacing w:line="240" w:lineRule="auto"/>
              <w:rPr>
                <w:bCs/>
                <w:sz w:val="18"/>
                <w:szCs w:val="18"/>
              </w:rPr>
            </w:pPr>
            <w:r>
              <w:rPr>
                <w:sz w:val="18"/>
              </w:rPr>
              <w:t>Отчет № 4 опубликован в феврале 2025 года.</w:t>
            </w:r>
          </w:p>
        </w:tc>
      </w:tr>
      <w:tr w:rsidR="00055BFC" w:rsidRPr="00487076" w14:paraId="1353E387" w14:textId="77777777" w:rsidTr="00B92127">
        <w:trPr>
          <w:trHeight w:val="337"/>
        </w:trPr>
        <w:tc>
          <w:tcPr>
            <w:tcW w:w="1795" w:type="dxa"/>
            <w:tcBorders>
              <w:bottom w:val="single" w:sz="2" w:space="0" w:color="auto"/>
            </w:tcBorders>
            <w:shd w:val="clear" w:color="auto" w:fill="auto"/>
            <w:vAlign w:val="center"/>
          </w:tcPr>
          <w:p w14:paraId="5EF1577E" w14:textId="77777777" w:rsidR="00055BFC" w:rsidRPr="00487076" w:rsidRDefault="00055BFC" w:rsidP="00B92127">
            <w:pPr>
              <w:spacing w:line="240" w:lineRule="auto"/>
              <w:rPr>
                <w:b/>
                <w:i/>
                <w:sz w:val="18"/>
                <w:szCs w:val="18"/>
              </w:rPr>
            </w:pPr>
            <w:r>
              <w:rPr>
                <w:b/>
                <w:i/>
                <w:sz w:val="18"/>
              </w:rPr>
              <w:t>ПОДЫТОГ</w:t>
            </w:r>
          </w:p>
        </w:tc>
        <w:tc>
          <w:tcPr>
            <w:tcW w:w="723" w:type="dxa"/>
            <w:tcBorders>
              <w:bottom w:val="single" w:sz="2" w:space="0" w:color="auto"/>
            </w:tcBorders>
            <w:shd w:val="clear" w:color="auto" w:fill="auto"/>
            <w:vAlign w:val="center"/>
          </w:tcPr>
          <w:p w14:paraId="6BB6563C" w14:textId="77777777" w:rsidR="00055BFC" w:rsidRPr="00487076" w:rsidRDefault="00055BFC" w:rsidP="00B92127">
            <w:pPr>
              <w:spacing w:line="240" w:lineRule="auto"/>
              <w:rPr>
                <w:b/>
                <w:sz w:val="18"/>
                <w:szCs w:val="18"/>
              </w:rPr>
            </w:pPr>
            <w:r>
              <w:rPr>
                <w:b/>
                <w:sz w:val="18"/>
              </w:rPr>
              <w:t>30</w:t>
            </w:r>
          </w:p>
        </w:tc>
        <w:tc>
          <w:tcPr>
            <w:tcW w:w="2067" w:type="dxa"/>
            <w:tcBorders>
              <w:bottom w:val="single" w:sz="2" w:space="0" w:color="auto"/>
            </w:tcBorders>
            <w:shd w:val="clear" w:color="auto" w:fill="auto"/>
            <w:vAlign w:val="center"/>
          </w:tcPr>
          <w:p w14:paraId="4D17375A" w14:textId="77777777" w:rsidR="00055BFC" w:rsidRPr="00487076" w:rsidRDefault="00055BFC" w:rsidP="00B92127">
            <w:pPr>
              <w:spacing w:line="240" w:lineRule="auto"/>
              <w:rPr>
                <w:bCs/>
                <w:sz w:val="18"/>
                <w:szCs w:val="18"/>
              </w:rPr>
            </w:pPr>
          </w:p>
        </w:tc>
        <w:tc>
          <w:tcPr>
            <w:tcW w:w="5402" w:type="dxa"/>
            <w:tcBorders>
              <w:bottom w:val="single" w:sz="2" w:space="0" w:color="auto"/>
            </w:tcBorders>
            <w:shd w:val="clear" w:color="auto" w:fill="auto"/>
            <w:vAlign w:val="center"/>
          </w:tcPr>
          <w:p w14:paraId="0EB365C5" w14:textId="77777777" w:rsidR="00055BFC" w:rsidRPr="00487076" w:rsidRDefault="00055BFC" w:rsidP="00B92127">
            <w:pPr>
              <w:spacing w:line="240" w:lineRule="auto"/>
              <w:rPr>
                <w:bCs/>
                <w:sz w:val="18"/>
                <w:szCs w:val="18"/>
              </w:rPr>
            </w:pPr>
          </w:p>
        </w:tc>
      </w:tr>
      <w:tr w:rsidR="00055BFC" w:rsidRPr="00487076" w14:paraId="25A4F854" w14:textId="77777777" w:rsidTr="00B92127">
        <w:trPr>
          <w:trHeight w:val="337"/>
        </w:trPr>
        <w:tc>
          <w:tcPr>
            <w:tcW w:w="1795" w:type="dxa"/>
            <w:tcBorders>
              <w:bottom w:val="single" w:sz="2" w:space="0" w:color="auto"/>
            </w:tcBorders>
            <w:shd w:val="clear" w:color="auto" w:fill="F2F2F2" w:themeFill="background1" w:themeFillShade="F2"/>
            <w:vAlign w:val="center"/>
          </w:tcPr>
          <w:p w14:paraId="144C64EC" w14:textId="77777777" w:rsidR="00055BFC" w:rsidRPr="00487076" w:rsidRDefault="00055BFC" w:rsidP="00B92127">
            <w:pPr>
              <w:spacing w:line="240" w:lineRule="auto"/>
              <w:rPr>
                <w:b/>
                <w:i/>
                <w:sz w:val="18"/>
                <w:szCs w:val="18"/>
              </w:rPr>
            </w:pPr>
            <w:r>
              <w:rPr>
                <w:b/>
                <w:i/>
                <w:sz w:val="18"/>
              </w:rPr>
              <w:t>СОВОКУПНЫЙ ИТОГ</w:t>
            </w:r>
          </w:p>
        </w:tc>
        <w:tc>
          <w:tcPr>
            <w:tcW w:w="723" w:type="dxa"/>
            <w:tcBorders>
              <w:bottom w:val="single" w:sz="2" w:space="0" w:color="auto"/>
            </w:tcBorders>
            <w:shd w:val="clear" w:color="auto" w:fill="F2F2F2" w:themeFill="background1" w:themeFillShade="F2"/>
            <w:vAlign w:val="center"/>
          </w:tcPr>
          <w:p w14:paraId="51C87206" w14:textId="77777777" w:rsidR="00055BFC" w:rsidRPr="00487076" w:rsidRDefault="00055BFC" w:rsidP="00B92127">
            <w:pPr>
              <w:spacing w:line="240" w:lineRule="auto"/>
              <w:rPr>
                <w:b/>
                <w:sz w:val="18"/>
                <w:szCs w:val="18"/>
              </w:rPr>
            </w:pPr>
            <w:r>
              <w:rPr>
                <w:b/>
                <w:sz w:val="18"/>
              </w:rPr>
              <w:t>32</w:t>
            </w:r>
          </w:p>
        </w:tc>
        <w:tc>
          <w:tcPr>
            <w:tcW w:w="2067" w:type="dxa"/>
            <w:tcBorders>
              <w:bottom w:val="single" w:sz="2" w:space="0" w:color="auto"/>
            </w:tcBorders>
            <w:shd w:val="clear" w:color="auto" w:fill="F2F2F2" w:themeFill="background1" w:themeFillShade="F2"/>
            <w:vAlign w:val="center"/>
          </w:tcPr>
          <w:p w14:paraId="11CB242D" w14:textId="77777777" w:rsidR="00055BFC" w:rsidRPr="00487076" w:rsidRDefault="00055BFC" w:rsidP="00B92127">
            <w:pPr>
              <w:spacing w:line="240" w:lineRule="auto"/>
              <w:rPr>
                <w:bCs/>
                <w:sz w:val="18"/>
                <w:szCs w:val="18"/>
              </w:rPr>
            </w:pPr>
          </w:p>
        </w:tc>
        <w:tc>
          <w:tcPr>
            <w:tcW w:w="5402" w:type="dxa"/>
            <w:tcBorders>
              <w:bottom w:val="single" w:sz="2" w:space="0" w:color="auto"/>
            </w:tcBorders>
            <w:shd w:val="clear" w:color="auto" w:fill="F2F2F2" w:themeFill="background1" w:themeFillShade="F2"/>
            <w:vAlign w:val="center"/>
          </w:tcPr>
          <w:p w14:paraId="39379D94" w14:textId="77777777" w:rsidR="00055BFC" w:rsidRPr="00487076" w:rsidRDefault="00055BFC" w:rsidP="00B92127">
            <w:pPr>
              <w:spacing w:line="240" w:lineRule="auto"/>
              <w:rPr>
                <w:bCs/>
                <w:sz w:val="18"/>
                <w:szCs w:val="18"/>
              </w:rPr>
            </w:pPr>
          </w:p>
        </w:tc>
      </w:tr>
    </w:tbl>
    <w:p w14:paraId="44D785E2" w14:textId="77777777" w:rsidR="00055BFC" w:rsidRPr="00487076" w:rsidRDefault="00055BFC" w:rsidP="00055BFC">
      <w:pPr>
        <w:pStyle w:val="HeadI"/>
        <w:numPr>
          <w:ilvl w:val="0"/>
          <w:numId w:val="0"/>
        </w:numPr>
        <w:ind w:left="720" w:hanging="294"/>
      </w:pPr>
      <w:bookmarkStart w:id="27" w:name="_Toc131444620"/>
      <w:bookmarkStart w:id="28" w:name="_Toc131447855"/>
      <w:bookmarkStart w:id="29" w:name="_Toc131453705"/>
      <w:bookmarkStart w:id="30" w:name="_Toc131453782"/>
      <w:bookmarkStart w:id="31" w:name="_Toc196833156"/>
      <w:bookmarkEnd w:id="27"/>
      <w:bookmarkEnd w:id="28"/>
      <w:bookmarkEnd w:id="29"/>
      <w:bookmarkEnd w:id="30"/>
      <w:r w:rsidRPr="00487076">
        <w:rPr>
          <w:sz w:val="24"/>
          <w:szCs w:val="24"/>
        </w:rPr>
        <w:t>VII.</w:t>
      </w:r>
      <w:r w:rsidRPr="00487076">
        <w:rPr>
          <w:sz w:val="24"/>
          <w:szCs w:val="24"/>
        </w:rPr>
        <w:tab/>
      </w:r>
      <w:r>
        <w:t>Деятельность и результаты внутреннего аудита</w:t>
      </w:r>
      <w:bookmarkEnd w:id="31"/>
    </w:p>
    <w:p w14:paraId="1B380100" w14:textId="77777777" w:rsidR="00055BFC" w:rsidRPr="00487076" w:rsidRDefault="00055BFC" w:rsidP="00055BFC">
      <w:pPr>
        <w:pStyle w:val="HeadA"/>
        <w:numPr>
          <w:ilvl w:val="0"/>
          <w:numId w:val="0"/>
        </w:numPr>
        <w:ind w:left="360" w:hanging="360"/>
      </w:pPr>
      <w:bookmarkStart w:id="32" w:name="_Toc196833157"/>
      <w:r w:rsidRPr="00487076">
        <w:t>A.</w:t>
      </w:r>
      <w:r w:rsidRPr="00487076">
        <w:tab/>
      </w:r>
      <w:r>
        <w:t>Передовой опыт</w:t>
      </w:r>
      <w:bookmarkStart w:id="33" w:name="_Hlk130912931"/>
      <w:bookmarkEnd w:id="32"/>
    </w:p>
    <w:bookmarkEnd w:id="33"/>
    <w:p w14:paraId="4E8B24EE" w14:textId="77777777" w:rsidR="00055BFC" w:rsidRPr="00487076" w:rsidRDefault="00055BFC" w:rsidP="00055BFC">
      <w:pPr>
        <w:pStyle w:val="Para1"/>
        <w:numPr>
          <w:ilvl w:val="0"/>
          <w:numId w:val="0"/>
        </w:numPr>
        <w:ind w:left="720" w:hanging="11"/>
      </w:pPr>
      <w:r w:rsidRPr="00487076">
        <w:t>26.</w:t>
      </w:r>
      <w:r w:rsidRPr="00487076">
        <w:tab/>
      </w:r>
      <w:r>
        <w:t>На основе 28 аудиторских отчетов, опубликованных в 2024 году, УАР выявило и передало руководству 41 примеров передовой практики и (или) позитивных изменений на стратегическом, оперативном и нормативно-правовом уровнях, которые могут быть взяты на вооружение другими подразделениями организации.</w:t>
      </w:r>
    </w:p>
    <w:p w14:paraId="4B14A6B0" w14:textId="77777777" w:rsidR="00055BFC" w:rsidRPr="00487076" w:rsidRDefault="00055BFC" w:rsidP="00055BFC">
      <w:pPr>
        <w:pStyle w:val="Para1"/>
        <w:numPr>
          <w:ilvl w:val="0"/>
          <w:numId w:val="0"/>
        </w:numPr>
        <w:ind w:left="720" w:hanging="11"/>
      </w:pPr>
      <w:r w:rsidRPr="00487076">
        <w:t>27.</w:t>
      </w:r>
      <w:r w:rsidRPr="00487076">
        <w:tab/>
      </w:r>
      <w:r>
        <w:t xml:space="preserve">Передовая практика, распространенная среди страновых отделений, включала следующее. </w:t>
      </w:r>
    </w:p>
    <w:p w14:paraId="724B7AD0" w14:textId="77777777" w:rsidR="00055BFC" w:rsidRPr="00487076" w:rsidRDefault="00055BFC" w:rsidP="00055BFC">
      <w:pPr>
        <w:pStyle w:val="Para1"/>
        <w:numPr>
          <w:ilvl w:val="0"/>
          <w:numId w:val="0"/>
        </w:numPr>
        <w:ind w:left="720"/>
      </w:pPr>
      <w:r w:rsidRPr="00487076">
        <w:t>(a)</w:t>
      </w:r>
      <w:r w:rsidRPr="00487076">
        <w:tab/>
      </w:r>
      <w:r>
        <w:t>Четырнадцать страновых отделений налаживали и поддерживали позитивные отношения с другими организациями системы Организации Объединенных Наций и отделениями координатора-резидента Организации Объединенных Наций, активно участвуя в межучрежденческих координационных группах и рабочих группах, причем некоторые из страновых отделений взяли на себя ведущую роль в конкретных тематических областях;</w:t>
      </w:r>
    </w:p>
    <w:p w14:paraId="54B36556" w14:textId="77777777" w:rsidR="00055BFC" w:rsidRPr="00487076" w:rsidRDefault="00055BFC" w:rsidP="00055BFC">
      <w:pPr>
        <w:pStyle w:val="Para1"/>
        <w:numPr>
          <w:ilvl w:val="0"/>
          <w:numId w:val="0"/>
        </w:numPr>
        <w:ind w:left="720"/>
      </w:pPr>
      <w:r w:rsidRPr="00487076">
        <w:t>(b)</w:t>
      </w:r>
      <w:r w:rsidRPr="00487076">
        <w:tab/>
      </w:r>
      <w:r>
        <w:t>Восемь страновых отделений предприняли согласованные усилия по мобилизации ресурсов, поддерживая тесное взаимодействие с существующими и потенциальными донорами и привлекая значительные ресурсы в ходе этого процесса. В ряде случаев такие усилия привели к значительным взносам стран-участниц программ и повышению авторитета и стратегического позиционирования ЮНФПА в качестве надежного партнера;</w:t>
      </w:r>
    </w:p>
    <w:p w14:paraId="0143841D" w14:textId="77777777" w:rsidR="00055BFC" w:rsidRPr="00487076" w:rsidRDefault="00055BFC" w:rsidP="00055BFC">
      <w:pPr>
        <w:pStyle w:val="Para1"/>
        <w:numPr>
          <w:ilvl w:val="0"/>
          <w:numId w:val="0"/>
        </w:numPr>
        <w:ind w:left="720"/>
      </w:pPr>
      <w:r w:rsidRPr="00487076">
        <w:t>(c)</w:t>
      </w:r>
      <w:r w:rsidRPr="00487076">
        <w:tab/>
      </w:r>
      <w:r>
        <w:t>Два страновых отделения разработали инновационные инструменты мониторинга и оценки, такие как информационные панели для визуализации данных о гуманитарных мероприятиях, и внедрили эффективные процессы годового планирования, связывающие показатели результатов с программными документами стран и рабочими планами;</w:t>
      </w:r>
    </w:p>
    <w:p w14:paraId="16300748" w14:textId="77777777" w:rsidR="00055BFC" w:rsidRPr="00487076" w:rsidRDefault="00055BFC" w:rsidP="00055BFC">
      <w:pPr>
        <w:pStyle w:val="Para1"/>
        <w:numPr>
          <w:ilvl w:val="0"/>
          <w:numId w:val="0"/>
        </w:numPr>
        <w:ind w:left="720" w:hanging="11"/>
      </w:pPr>
      <w:r w:rsidRPr="00487076">
        <w:t>28.</w:t>
      </w:r>
      <w:r w:rsidRPr="00487076">
        <w:tab/>
      </w:r>
      <w:r>
        <w:t>Среди передовых практик и (или) позитивных изменений, определенных в ходе аудита корпоративных бизнес-процессов, выделяются следующие:</w:t>
      </w:r>
    </w:p>
    <w:p w14:paraId="4B941838" w14:textId="77777777" w:rsidR="00055BFC" w:rsidRPr="00487076" w:rsidRDefault="00055BFC" w:rsidP="00055BFC">
      <w:pPr>
        <w:pStyle w:val="Paraa"/>
        <w:numPr>
          <w:ilvl w:val="0"/>
          <w:numId w:val="0"/>
        </w:numPr>
        <w:ind w:left="720"/>
      </w:pPr>
      <w:r w:rsidRPr="00487076">
        <w:t>(a)</w:t>
      </w:r>
      <w:r w:rsidRPr="00487076">
        <w:tab/>
      </w:r>
      <w:r>
        <w:t>Было выявлено пять передовых методов управления информационной безопасностью, включая привлечение специализированных внешних агентств для мониторинга безопасности, использование гибкой методологии при реализации программ безопасности, создание надежных процессов управления привилегированным доступом, создание стандартных профилей пользователей и разработка последовательных стратегий отчетности;</w:t>
      </w:r>
    </w:p>
    <w:p w14:paraId="0B71F121" w14:textId="77777777" w:rsidR="00055BFC" w:rsidRPr="00487076" w:rsidRDefault="00055BFC" w:rsidP="00055BFC">
      <w:pPr>
        <w:pStyle w:val="Paraa"/>
        <w:numPr>
          <w:ilvl w:val="0"/>
          <w:numId w:val="0"/>
        </w:numPr>
        <w:ind w:left="720"/>
      </w:pPr>
      <w:r w:rsidRPr="00487076">
        <w:t>(b)</w:t>
      </w:r>
      <w:r w:rsidRPr="00487076">
        <w:tab/>
      </w:r>
      <w:r>
        <w:t>ЮНФПА создал механизм кризисного реагирования, активируемый группой кризисного реагирования в штаб-квартире, в которую входят ключевые руководящие сотрудники, для координации корпоративных действий в ответ на критические инциденты, затрагивающие отделения на местах; и</w:t>
      </w:r>
    </w:p>
    <w:p w14:paraId="2D3C3371" w14:textId="77777777" w:rsidR="00055BFC" w:rsidRPr="00487076" w:rsidRDefault="00055BFC" w:rsidP="00055BFC">
      <w:pPr>
        <w:pStyle w:val="Paraa"/>
        <w:numPr>
          <w:ilvl w:val="0"/>
          <w:numId w:val="0"/>
        </w:numPr>
        <w:ind w:left="720"/>
      </w:pPr>
      <w:r w:rsidRPr="00487076">
        <w:t>(c)</w:t>
      </w:r>
      <w:r w:rsidRPr="00487076">
        <w:tab/>
      </w:r>
      <w:r>
        <w:t>ЮНФПА выпустил новую политику управления идентификационными данными и доступом, демонстрирующую его приверженность практике надлежащего управления. Политика соответствует лучшим отраслевым практикам, охватывающим, в частности, процедуры предоставления и отзыва доступа, обработки исключений, а также включает отдельные процессы авторизации корпоративных (обычных) и привилегированных учетных записей.</w:t>
      </w:r>
    </w:p>
    <w:p w14:paraId="798E2F38" w14:textId="77777777" w:rsidR="00055BFC" w:rsidRPr="00487076" w:rsidRDefault="00055BFC" w:rsidP="00055BFC">
      <w:pPr>
        <w:pStyle w:val="HeadA"/>
        <w:numPr>
          <w:ilvl w:val="0"/>
          <w:numId w:val="0"/>
        </w:numPr>
        <w:ind w:left="734" w:hanging="590"/>
      </w:pPr>
      <w:bookmarkStart w:id="34" w:name="_Toc196833158"/>
      <w:r w:rsidRPr="00487076">
        <w:t>B.</w:t>
      </w:r>
      <w:r w:rsidRPr="00487076">
        <w:tab/>
      </w:r>
      <w:r>
        <w:t>Отчеты о рейтингах, проблемах аудита и рекомендациях</w:t>
      </w:r>
      <w:bookmarkEnd w:id="34"/>
    </w:p>
    <w:p w14:paraId="5EB667E2" w14:textId="77777777" w:rsidR="00055BFC" w:rsidRPr="00487076" w:rsidRDefault="00055BFC" w:rsidP="00055BFC">
      <w:pPr>
        <w:pStyle w:val="Para1"/>
        <w:numPr>
          <w:ilvl w:val="0"/>
          <w:numId w:val="0"/>
        </w:numPr>
        <w:ind w:left="720" w:hanging="11"/>
      </w:pPr>
      <w:r w:rsidRPr="00487076">
        <w:t>29.</w:t>
      </w:r>
      <w:r w:rsidRPr="00487076">
        <w:tab/>
      </w:r>
      <w:r>
        <w:t>При выполнении отдельных задач аудита</w:t>
      </w:r>
      <w:r w:rsidRPr="00487076">
        <w:rPr>
          <w:vertAlign w:val="superscript"/>
        </w:rPr>
        <w:footnoteReference w:id="6"/>
      </w:r>
      <w:r>
        <w:t xml:space="preserve"> УАР присваивает общий рейтинг аудита на основе своей оценки соответствующих процессов руководства, управления рисками и контроля на уровне оперативного подразделения или процесса. В 2017 году в соответствии с предложением рабочей группы UN-RIAS от 2016 года о гармонизации рейтингов аудита на уровне задач УАР приняло систему рейтингов аудита с четырьмя шкалами</w:t>
      </w:r>
      <w:r w:rsidRPr="00487076">
        <w:rPr>
          <w:vertAlign w:val="superscript"/>
        </w:rPr>
        <w:footnoteReference w:id="7"/>
      </w:r>
      <w:r w:rsidRPr="00C56824">
        <w:t>.</w:t>
      </w:r>
      <w:r>
        <w:t xml:space="preserve"> </w:t>
      </w:r>
    </w:p>
    <w:p w14:paraId="16BC42B7" w14:textId="77777777" w:rsidR="00055BFC" w:rsidRPr="00487076" w:rsidRDefault="00055BFC" w:rsidP="00055BFC">
      <w:pPr>
        <w:pStyle w:val="Para1"/>
        <w:numPr>
          <w:ilvl w:val="0"/>
          <w:numId w:val="0"/>
        </w:numPr>
        <w:ind w:left="720" w:hanging="11"/>
      </w:pPr>
      <w:r w:rsidRPr="00487076">
        <w:t>30.</w:t>
      </w:r>
      <w:r w:rsidRPr="00487076">
        <w:tab/>
      </w:r>
      <w:r>
        <w:t>Оценки по аудитам, выполненным в 2024 году, приведены в таблице 3 ниже. УАР опубликовало 28 аудиторских отчетов, пять из которых получили оценку «удовлетворительно», 15 — «частично удовлетворительно и требует некоторых улучшений», пять — «частично удовлетворительно и требует значительных улучшений» и три — «неудовлетворительно».</w:t>
      </w:r>
    </w:p>
    <w:p w14:paraId="4F581263" w14:textId="77777777" w:rsidR="00055BFC" w:rsidRPr="00487076" w:rsidRDefault="00055BFC" w:rsidP="00055BFC">
      <w:pPr>
        <w:pStyle w:val="Figure"/>
      </w:pPr>
      <w:r>
        <w:t>Таблица 3. Распределение аудиторских заключений по регионам и тематическим областям за 2024 год</w:t>
      </w:r>
    </w:p>
    <w:tbl>
      <w:tblPr>
        <w:tblW w:w="9781" w:type="dxa"/>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261"/>
        <w:gridCol w:w="850"/>
        <w:gridCol w:w="1134"/>
        <w:gridCol w:w="1843"/>
        <w:gridCol w:w="1417"/>
        <w:gridCol w:w="1276"/>
      </w:tblGrid>
      <w:tr w:rsidR="00055BFC" w:rsidRPr="00487076" w14:paraId="1F1F5F09" w14:textId="77777777" w:rsidTr="00B92127">
        <w:trPr>
          <w:trHeight w:val="992"/>
          <w:tblHeader/>
        </w:trPr>
        <w:tc>
          <w:tcPr>
            <w:tcW w:w="3261" w:type="dxa"/>
            <w:shd w:val="clear" w:color="000000" w:fill="D9D9D9"/>
            <w:noWrap/>
            <w:vAlign w:val="bottom"/>
          </w:tcPr>
          <w:p w14:paraId="00C64ABE" w14:textId="77777777" w:rsidR="00055BFC" w:rsidRPr="00C917D2" w:rsidRDefault="00055BFC" w:rsidP="00B92127">
            <w:pPr>
              <w:keepNext/>
              <w:keepLines/>
              <w:spacing w:line="240" w:lineRule="auto"/>
              <w:rPr>
                <w:rFonts w:eastAsia="Times New Roman"/>
                <w:b/>
                <w:bCs/>
                <w:color w:val="000000"/>
                <w:sz w:val="17"/>
                <w:szCs w:val="17"/>
              </w:rPr>
            </w:pPr>
            <w:r w:rsidRPr="00C917D2">
              <w:rPr>
                <w:b/>
                <w:color w:val="000000"/>
                <w:sz w:val="17"/>
                <w:szCs w:val="17"/>
              </w:rPr>
              <w:t>Область аудита</w:t>
            </w:r>
          </w:p>
        </w:tc>
        <w:tc>
          <w:tcPr>
            <w:tcW w:w="850" w:type="dxa"/>
            <w:shd w:val="clear" w:color="000000" w:fill="D9D9D9"/>
            <w:vAlign w:val="bottom"/>
          </w:tcPr>
          <w:p w14:paraId="522E0848" w14:textId="77777777" w:rsidR="00055BFC" w:rsidRPr="00C917D2" w:rsidRDefault="00055BFC" w:rsidP="00B92127">
            <w:pPr>
              <w:keepNext/>
              <w:keepLines/>
              <w:spacing w:line="240" w:lineRule="auto"/>
              <w:jc w:val="center"/>
              <w:rPr>
                <w:rFonts w:eastAsia="Times New Roman"/>
                <w:b/>
                <w:bCs/>
                <w:color w:val="000000"/>
                <w:sz w:val="17"/>
                <w:szCs w:val="17"/>
              </w:rPr>
            </w:pPr>
            <w:r w:rsidRPr="00C917D2">
              <w:rPr>
                <w:b/>
                <w:color w:val="000000"/>
                <w:sz w:val="17"/>
                <w:szCs w:val="17"/>
              </w:rPr>
              <w:t>Число аудитов</w:t>
            </w:r>
          </w:p>
        </w:tc>
        <w:tc>
          <w:tcPr>
            <w:tcW w:w="1134" w:type="dxa"/>
            <w:shd w:val="clear" w:color="000000" w:fill="D9D9D9"/>
            <w:vAlign w:val="bottom"/>
          </w:tcPr>
          <w:p w14:paraId="4B0080E8" w14:textId="77777777" w:rsidR="00055BFC" w:rsidRPr="00C917D2" w:rsidRDefault="00055BFC" w:rsidP="00B92127">
            <w:pPr>
              <w:keepNext/>
              <w:keepLines/>
              <w:spacing w:line="240" w:lineRule="auto"/>
              <w:jc w:val="center"/>
              <w:rPr>
                <w:b/>
                <w:color w:val="000000"/>
                <w:sz w:val="17"/>
                <w:szCs w:val="17"/>
              </w:rPr>
            </w:pPr>
            <w:proofErr w:type="spellStart"/>
            <w:r w:rsidRPr="00C917D2">
              <w:rPr>
                <w:b/>
                <w:color w:val="000000"/>
                <w:sz w:val="17"/>
                <w:szCs w:val="17"/>
              </w:rPr>
              <w:t>Удовлетво-рительно</w:t>
            </w:r>
            <w:proofErr w:type="spellEnd"/>
          </w:p>
        </w:tc>
        <w:tc>
          <w:tcPr>
            <w:tcW w:w="1843" w:type="dxa"/>
            <w:shd w:val="clear" w:color="000000" w:fill="D9D9D9"/>
            <w:vAlign w:val="bottom"/>
          </w:tcPr>
          <w:p w14:paraId="6D5E25E9" w14:textId="77777777" w:rsidR="00055BFC" w:rsidRPr="00C917D2" w:rsidRDefault="00055BFC" w:rsidP="00B92127">
            <w:pPr>
              <w:keepNext/>
              <w:keepLines/>
              <w:spacing w:line="240" w:lineRule="auto"/>
              <w:jc w:val="center"/>
              <w:rPr>
                <w:b/>
                <w:color w:val="000000"/>
                <w:sz w:val="17"/>
                <w:szCs w:val="17"/>
              </w:rPr>
            </w:pPr>
            <w:r w:rsidRPr="00C917D2">
              <w:rPr>
                <w:b/>
                <w:color w:val="000000"/>
                <w:sz w:val="17"/>
                <w:szCs w:val="17"/>
              </w:rPr>
              <w:t>Частично удовлетворительно и требует некоторых улучшений</w:t>
            </w:r>
          </w:p>
        </w:tc>
        <w:tc>
          <w:tcPr>
            <w:tcW w:w="1417" w:type="dxa"/>
            <w:shd w:val="clear" w:color="000000" w:fill="D9D9D9"/>
            <w:vAlign w:val="bottom"/>
          </w:tcPr>
          <w:p w14:paraId="4FE14F7C" w14:textId="77777777" w:rsidR="00055BFC" w:rsidRPr="00C917D2" w:rsidRDefault="00055BFC" w:rsidP="00B92127">
            <w:pPr>
              <w:keepNext/>
              <w:keepLines/>
              <w:spacing w:line="240" w:lineRule="auto"/>
              <w:jc w:val="center"/>
              <w:rPr>
                <w:b/>
                <w:color w:val="000000"/>
                <w:sz w:val="17"/>
                <w:szCs w:val="17"/>
              </w:rPr>
            </w:pPr>
            <w:r w:rsidRPr="00C917D2">
              <w:rPr>
                <w:b/>
                <w:color w:val="000000"/>
                <w:sz w:val="17"/>
                <w:szCs w:val="17"/>
              </w:rPr>
              <w:t xml:space="preserve">Частично </w:t>
            </w:r>
            <w:proofErr w:type="gramStart"/>
            <w:r w:rsidRPr="00C917D2">
              <w:rPr>
                <w:b/>
                <w:color w:val="000000"/>
                <w:sz w:val="17"/>
                <w:szCs w:val="17"/>
              </w:rPr>
              <w:t>удовлетвори-</w:t>
            </w:r>
            <w:proofErr w:type="spellStart"/>
            <w:r w:rsidRPr="00C917D2">
              <w:rPr>
                <w:b/>
                <w:color w:val="000000"/>
                <w:sz w:val="17"/>
                <w:szCs w:val="17"/>
              </w:rPr>
              <w:t>тельно</w:t>
            </w:r>
            <w:proofErr w:type="spellEnd"/>
            <w:proofErr w:type="gramEnd"/>
            <w:r w:rsidRPr="00C917D2">
              <w:rPr>
                <w:b/>
                <w:color w:val="000000"/>
                <w:sz w:val="17"/>
                <w:szCs w:val="17"/>
              </w:rPr>
              <w:t xml:space="preserve"> и требует существенных улучшений</w:t>
            </w:r>
          </w:p>
        </w:tc>
        <w:tc>
          <w:tcPr>
            <w:tcW w:w="1276" w:type="dxa"/>
            <w:shd w:val="clear" w:color="000000" w:fill="D9D9D9"/>
            <w:vAlign w:val="bottom"/>
          </w:tcPr>
          <w:p w14:paraId="11B31AFF" w14:textId="77777777" w:rsidR="00055BFC" w:rsidRPr="00C917D2" w:rsidRDefault="00055BFC" w:rsidP="00B92127">
            <w:pPr>
              <w:keepNext/>
              <w:keepLines/>
              <w:spacing w:line="240" w:lineRule="auto"/>
              <w:jc w:val="center"/>
              <w:rPr>
                <w:b/>
                <w:color w:val="000000"/>
                <w:sz w:val="17"/>
                <w:szCs w:val="17"/>
              </w:rPr>
            </w:pPr>
            <w:proofErr w:type="spellStart"/>
            <w:r w:rsidRPr="00C917D2">
              <w:rPr>
                <w:b/>
                <w:color w:val="000000"/>
                <w:sz w:val="17"/>
                <w:szCs w:val="17"/>
              </w:rPr>
              <w:t>Неудовле-творительно</w:t>
            </w:r>
            <w:proofErr w:type="spellEnd"/>
          </w:p>
        </w:tc>
      </w:tr>
      <w:tr w:rsidR="00055BFC" w:rsidRPr="00487076" w14:paraId="37D5E6A8" w14:textId="77777777" w:rsidTr="00B92127">
        <w:trPr>
          <w:trHeight w:val="263"/>
        </w:trPr>
        <w:tc>
          <w:tcPr>
            <w:tcW w:w="3261" w:type="dxa"/>
            <w:shd w:val="clear" w:color="auto" w:fill="auto"/>
            <w:noWrap/>
            <w:vAlign w:val="bottom"/>
            <w:hideMark/>
          </w:tcPr>
          <w:p w14:paraId="118DB12B" w14:textId="77777777" w:rsidR="00055BFC" w:rsidRPr="00487076" w:rsidRDefault="00055BFC" w:rsidP="00B92127">
            <w:pPr>
              <w:spacing w:line="240" w:lineRule="auto"/>
              <w:rPr>
                <w:rFonts w:eastAsia="Times New Roman"/>
                <w:b/>
                <w:bCs/>
                <w:color w:val="000000"/>
                <w:sz w:val="18"/>
                <w:szCs w:val="18"/>
              </w:rPr>
            </w:pPr>
            <w:r>
              <w:rPr>
                <w:b/>
                <w:color w:val="000000"/>
                <w:sz w:val="18"/>
              </w:rPr>
              <w:t>Аудиты страновых отделений:</w:t>
            </w:r>
          </w:p>
        </w:tc>
        <w:tc>
          <w:tcPr>
            <w:tcW w:w="850" w:type="dxa"/>
            <w:shd w:val="clear" w:color="FFFFFF" w:fill="auto"/>
            <w:noWrap/>
            <w:vAlign w:val="bottom"/>
            <w:hideMark/>
          </w:tcPr>
          <w:p w14:paraId="03D26A62" w14:textId="77777777" w:rsidR="00055BFC" w:rsidRPr="00487076" w:rsidRDefault="00055BFC" w:rsidP="00B92127">
            <w:pPr>
              <w:spacing w:line="240" w:lineRule="auto"/>
              <w:jc w:val="center"/>
              <w:rPr>
                <w:rFonts w:eastAsia="Times New Roman"/>
                <w:color w:val="000000"/>
                <w:sz w:val="18"/>
                <w:szCs w:val="18"/>
              </w:rPr>
            </w:pPr>
          </w:p>
        </w:tc>
        <w:tc>
          <w:tcPr>
            <w:tcW w:w="1134" w:type="dxa"/>
            <w:shd w:val="clear" w:color="FFFFFF" w:fill="auto"/>
            <w:noWrap/>
            <w:vAlign w:val="bottom"/>
          </w:tcPr>
          <w:p w14:paraId="3A47E813" w14:textId="77777777" w:rsidR="00055BFC" w:rsidRPr="00487076" w:rsidRDefault="00055BFC" w:rsidP="00B92127">
            <w:pPr>
              <w:spacing w:line="240" w:lineRule="auto"/>
              <w:jc w:val="center"/>
              <w:rPr>
                <w:rFonts w:eastAsia="Times New Roman"/>
                <w:color w:val="000000"/>
                <w:sz w:val="18"/>
                <w:szCs w:val="18"/>
              </w:rPr>
            </w:pPr>
          </w:p>
        </w:tc>
        <w:tc>
          <w:tcPr>
            <w:tcW w:w="1843" w:type="dxa"/>
            <w:shd w:val="clear" w:color="FFFFFF" w:fill="auto"/>
            <w:noWrap/>
            <w:vAlign w:val="bottom"/>
          </w:tcPr>
          <w:p w14:paraId="739EFCC3" w14:textId="77777777" w:rsidR="00055BFC" w:rsidRPr="00487076" w:rsidRDefault="00055BFC" w:rsidP="00B92127">
            <w:pPr>
              <w:spacing w:line="240" w:lineRule="auto"/>
              <w:jc w:val="center"/>
              <w:rPr>
                <w:rFonts w:eastAsia="Times New Roman"/>
                <w:color w:val="000000"/>
                <w:sz w:val="18"/>
                <w:szCs w:val="18"/>
              </w:rPr>
            </w:pPr>
          </w:p>
        </w:tc>
        <w:tc>
          <w:tcPr>
            <w:tcW w:w="1417" w:type="dxa"/>
            <w:shd w:val="clear" w:color="FFFFFF" w:fill="auto"/>
            <w:noWrap/>
            <w:vAlign w:val="bottom"/>
            <w:hideMark/>
          </w:tcPr>
          <w:p w14:paraId="3553B934" w14:textId="77777777" w:rsidR="00055BFC" w:rsidRPr="00487076" w:rsidRDefault="00055BFC" w:rsidP="00B92127">
            <w:pPr>
              <w:spacing w:line="240" w:lineRule="auto"/>
              <w:jc w:val="center"/>
              <w:rPr>
                <w:rFonts w:eastAsia="Times New Roman"/>
                <w:color w:val="000000"/>
                <w:sz w:val="18"/>
                <w:szCs w:val="18"/>
              </w:rPr>
            </w:pPr>
          </w:p>
        </w:tc>
        <w:tc>
          <w:tcPr>
            <w:tcW w:w="1276" w:type="dxa"/>
            <w:shd w:val="clear" w:color="FFFFFF" w:fill="auto"/>
            <w:noWrap/>
            <w:vAlign w:val="bottom"/>
          </w:tcPr>
          <w:p w14:paraId="67F4DD2D" w14:textId="77777777" w:rsidR="00055BFC" w:rsidRPr="00487076" w:rsidRDefault="00055BFC" w:rsidP="00B92127">
            <w:pPr>
              <w:spacing w:line="240" w:lineRule="auto"/>
              <w:jc w:val="center"/>
              <w:rPr>
                <w:rFonts w:eastAsia="Times New Roman"/>
                <w:color w:val="000000"/>
                <w:sz w:val="18"/>
                <w:szCs w:val="18"/>
              </w:rPr>
            </w:pPr>
          </w:p>
        </w:tc>
      </w:tr>
      <w:tr w:rsidR="00055BFC" w:rsidRPr="00487076" w14:paraId="21BE15EF" w14:textId="77777777" w:rsidTr="00B92127">
        <w:trPr>
          <w:trHeight w:val="263"/>
        </w:trPr>
        <w:tc>
          <w:tcPr>
            <w:tcW w:w="3261" w:type="dxa"/>
            <w:shd w:val="clear" w:color="auto" w:fill="auto"/>
            <w:noWrap/>
            <w:vAlign w:val="bottom"/>
            <w:hideMark/>
          </w:tcPr>
          <w:p w14:paraId="23FE96AC" w14:textId="77777777" w:rsidR="00055BFC" w:rsidRPr="00487076" w:rsidRDefault="00055BFC" w:rsidP="00B92127">
            <w:pPr>
              <w:spacing w:line="240" w:lineRule="auto"/>
              <w:rPr>
                <w:rFonts w:eastAsia="Times New Roman"/>
                <w:color w:val="000000"/>
                <w:sz w:val="18"/>
                <w:szCs w:val="18"/>
              </w:rPr>
            </w:pPr>
            <w:r>
              <w:rPr>
                <w:color w:val="000000"/>
                <w:sz w:val="18"/>
              </w:rPr>
              <w:t>Азиатско-Тихоокеанский регион</w:t>
            </w:r>
          </w:p>
        </w:tc>
        <w:tc>
          <w:tcPr>
            <w:tcW w:w="850" w:type="dxa"/>
            <w:shd w:val="clear" w:color="FFFFFF" w:fill="auto"/>
            <w:noWrap/>
            <w:vAlign w:val="bottom"/>
            <w:hideMark/>
          </w:tcPr>
          <w:p w14:paraId="78E6FD94" w14:textId="77777777" w:rsidR="00055BFC" w:rsidRPr="00487076" w:rsidRDefault="00055BFC" w:rsidP="00B92127">
            <w:pPr>
              <w:spacing w:line="240" w:lineRule="auto"/>
              <w:jc w:val="center"/>
              <w:rPr>
                <w:rFonts w:eastAsia="Times New Roman"/>
                <w:color w:val="000000"/>
                <w:sz w:val="18"/>
                <w:szCs w:val="18"/>
              </w:rPr>
            </w:pPr>
            <w:r>
              <w:rPr>
                <w:color w:val="000000"/>
                <w:sz w:val="18"/>
              </w:rPr>
              <w:t>4</w:t>
            </w:r>
          </w:p>
        </w:tc>
        <w:tc>
          <w:tcPr>
            <w:tcW w:w="1134" w:type="dxa"/>
            <w:shd w:val="clear" w:color="FFFFFF" w:fill="auto"/>
            <w:noWrap/>
            <w:vAlign w:val="bottom"/>
          </w:tcPr>
          <w:p w14:paraId="509B0057" w14:textId="77777777" w:rsidR="00055BFC" w:rsidRPr="00487076" w:rsidRDefault="00055BFC" w:rsidP="00B92127">
            <w:pPr>
              <w:spacing w:line="240" w:lineRule="auto"/>
              <w:jc w:val="center"/>
              <w:rPr>
                <w:rFonts w:eastAsia="Times New Roman"/>
                <w:color w:val="000000"/>
                <w:sz w:val="18"/>
                <w:szCs w:val="18"/>
              </w:rPr>
            </w:pPr>
            <w:r>
              <w:rPr>
                <w:color w:val="000000"/>
                <w:sz w:val="18"/>
              </w:rPr>
              <w:t>1</w:t>
            </w:r>
          </w:p>
        </w:tc>
        <w:tc>
          <w:tcPr>
            <w:tcW w:w="1843" w:type="dxa"/>
            <w:shd w:val="clear" w:color="FFFFFF" w:fill="auto"/>
            <w:noWrap/>
            <w:vAlign w:val="bottom"/>
          </w:tcPr>
          <w:p w14:paraId="6568E0E5" w14:textId="77777777" w:rsidR="00055BFC" w:rsidRPr="00487076" w:rsidRDefault="00055BFC" w:rsidP="00B92127">
            <w:pPr>
              <w:spacing w:line="240" w:lineRule="auto"/>
              <w:jc w:val="center"/>
              <w:rPr>
                <w:rFonts w:eastAsia="Times New Roman"/>
                <w:color w:val="000000"/>
                <w:sz w:val="18"/>
                <w:szCs w:val="18"/>
              </w:rPr>
            </w:pPr>
            <w:r>
              <w:rPr>
                <w:color w:val="000000"/>
                <w:sz w:val="18"/>
              </w:rPr>
              <w:t>2</w:t>
            </w:r>
          </w:p>
        </w:tc>
        <w:tc>
          <w:tcPr>
            <w:tcW w:w="1417" w:type="dxa"/>
            <w:shd w:val="clear" w:color="FFFFFF" w:fill="auto"/>
            <w:noWrap/>
            <w:vAlign w:val="bottom"/>
            <w:hideMark/>
          </w:tcPr>
          <w:p w14:paraId="0388A27D" w14:textId="77777777" w:rsidR="00055BFC" w:rsidRPr="00487076" w:rsidRDefault="00055BFC" w:rsidP="00B92127">
            <w:pPr>
              <w:spacing w:line="240" w:lineRule="auto"/>
              <w:jc w:val="center"/>
              <w:rPr>
                <w:rFonts w:eastAsia="Times New Roman"/>
                <w:color w:val="000000"/>
                <w:sz w:val="18"/>
                <w:szCs w:val="18"/>
              </w:rPr>
            </w:pPr>
          </w:p>
        </w:tc>
        <w:tc>
          <w:tcPr>
            <w:tcW w:w="1276" w:type="dxa"/>
            <w:shd w:val="clear" w:color="FFFFFF" w:fill="auto"/>
            <w:noWrap/>
            <w:vAlign w:val="bottom"/>
          </w:tcPr>
          <w:p w14:paraId="2BCE3B1A" w14:textId="77777777" w:rsidR="00055BFC" w:rsidRPr="00487076" w:rsidRDefault="00055BFC" w:rsidP="00B92127">
            <w:pPr>
              <w:spacing w:line="240" w:lineRule="auto"/>
              <w:jc w:val="center"/>
              <w:rPr>
                <w:rFonts w:eastAsia="Times New Roman"/>
                <w:color w:val="000000"/>
                <w:sz w:val="18"/>
                <w:szCs w:val="18"/>
              </w:rPr>
            </w:pPr>
            <w:r>
              <w:rPr>
                <w:color w:val="000000"/>
                <w:sz w:val="18"/>
              </w:rPr>
              <w:t>1</w:t>
            </w:r>
          </w:p>
        </w:tc>
      </w:tr>
      <w:tr w:rsidR="00055BFC" w:rsidRPr="00487076" w14:paraId="35F8CC2B" w14:textId="77777777" w:rsidTr="00B92127">
        <w:trPr>
          <w:trHeight w:val="263"/>
        </w:trPr>
        <w:tc>
          <w:tcPr>
            <w:tcW w:w="3261" w:type="dxa"/>
            <w:shd w:val="clear" w:color="auto" w:fill="auto"/>
            <w:noWrap/>
            <w:vAlign w:val="bottom"/>
            <w:hideMark/>
          </w:tcPr>
          <w:p w14:paraId="145C423A" w14:textId="77777777" w:rsidR="00055BFC" w:rsidRPr="00487076" w:rsidRDefault="00055BFC" w:rsidP="00B92127">
            <w:pPr>
              <w:spacing w:line="240" w:lineRule="auto"/>
              <w:rPr>
                <w:rFonts w:eastAsia="Times New Roman"/>
                <w:color w:val="000000"/>
                <w:sz w:val="18"/>
                <w:szCs w:val="18"/>
              </w:rPr>
            </w:pPr>
            <w:r>
              <w:rPr>
                <w:color w:val="000000"/>
                <w:sz w:val="18"/>
              </w:rPr>
              <w:t>Арабские страны</w:t>
            </w:r>
          </w:p>
        </w:tc>
        <w:tc>
          <w:tcPr>
            <w:tcW w:w="850" w:type="dxa"/>
            <w:shd w:val="clear" w:color="FFFFFF" w:fill="auto"/>
            <w:noWrap/>
            <w:vAlign w:val="bottom"/>
            <w:hideMark/>
          </w:tcPr>
          <w:p w14:paraId="32655ABA" w14:textId="77777777" w:rsidR="00055BFC" w:rsidRPr="00487076" w:rsidRDefault="00055BFC" w:rsidP="00B92127">
            <w:pPr>
              <w:spacing w:line="240" w:lineRule="auto"/>
              <w:jc w:val="center"/>
              <w:rPr>
                <w:rFonts w:eastAsia="Times New Roman"/>
                <w:color w:val="000000"/>
                <w:sz w:val="18"/>
                <w:szCs w:val="18"/>
              </w:rPr>
            </w:pPr>
            <w:r>
              <w:rPr>
                <w:color w:val="000000"/>
                <w:sz w:val="18"/>
              </w:rPr>
              <w:t>2</w:t>
            </w:r>
          </w:p>
        </w:tc>
        <w:tc>
          <w:tcPr>
            <w:tcW w:w="1134" w:type="dxa"/>
            <w:shd w:val="clear" w:color="FFFFFF" w:fill="auto"/>
            <w:noWrap/>
            <w:vAlign w:val="bottom"/>
          </w:tcPr>
          <w:p w14:paraId="75565920" w14:textId="77777777" w:rsidR="00055BFC" w:rsidRPr="00487076" w:rsidRDefault="00055BFC" w:rsidP="00B92127">
            <w:pPr>
              <w:spacing w:line="240" w:lineRule="auto"/>
              <w:jc w:val="center"/>
              <w:rPr>
                <w:rFonts w:eastAsia="Times New Roman"/>
                <w:color w:val="000000"/>
                <w:sz w:val="18"/>
                <w:szCs w:val="18"/>
              </w:rPr>
            </w:pPr>
          </w:p>
        </w:tc>
        <w:tc>
          <w:tcPr>
            <w:tcW w:w="1843" w:type="dxa"/>
            <w:shd w:val="clear" w:color="FFFFFF" w:fill="auto"/>
            <w:noWrap/>
            <w:vAlign w:val="bottom"/>
            <w:hideMark/>
          </w:tcPr>
          <w:p w14:paraId="0CA60C60" w14:textId="77777777" w:rsidR="00055BFC" w:rsidRPr="00487076" w:rsidRDefault="00055BFC" w:rsidP="00B92127">
            <w:pPr>
              <w:spacing w:line="240" w:lineRule="auto"/>
              <w:jc w:val="center"/>
              <w:rPr>
                <w:rFonts w:eastAsia="Times New Roman"/>
                <w:color w:val="000000"/>
                <w:sz w:val="18"/>
                <w:szCs w:val="18"/>
              </w:rPr>
            </w:pPr>
            <w:r>
              <w:rPr>
                <w:color w:val="000000"/>
                <w:sz w:val="18"/>
              </w:rPr>
              <w:t>1</w:t>
            </w:r>
          </w:p>
        </w:tc>
        <w:tc>
          <w:tcPr>
            <w:tcW w:w="1417" w:type="dxa"/>
            <w:shd w:val="clear" w:color="FFFFFF" w:fill="auto"/>
            <w:noWrap/>
            <w:vAlign w:val="bottom"/>
            <w:hideMark/>
          </w:tcPr>
          <w:p w14:paraId="59357A24" w14:textId="77777777" w:rsidR="00055BFC" w:rsidRPr="00487076" w:rsidRDefault="00055BFC" w:rsidP="00B92127">
            <w:pPr>
              <w:spacing w:line="240" w:lineRule="auto"/>
              <w:jc w:val="center"/>
              <w:rPr>
                <w:rFonts w:eastAsia="Times New Roman"/>
                <w:color w:val="000000"/>
                <w:sz w:val="18"/>
                <w:szCs w:val="18"/>
              </w:rPr>
            </w:pPr>
            <w:r>
              <w:rPr>
                <w:color w:val="000000"/>
                <w:sz w:val="18"/>
              </w:rPr>
              <w:t>1</w:t>
            </w:r>
          </w:p>
        </w:tc>
        <w:tc>
          <w:tcPr>
            <w:tcW w:w="1276" w:type="dxa"/>
            <w:shd w:val="clear" w:color="FFFFFF" w:fill="auto"/>
            <w:noWrap/>
            <w:vAlign w:val="bottom"/>
          </w:tcPr>
          <w:p w14:paraId="739BAAEA" w14:textId="77777777" w:rsidR="00055BFC" w:rsidRPr="00487076" w:rsidRDefault="00055BFC" w:rsidP="00B92127">
            <w:pPr>
              <w:spacing w:line="240" w:lineRule="auto"/>
              <w:jc w:val="center"/>
              <w:rPr>
                <w:rFonts w:eastAsia="Times New Roman"/>
                <w:color w:val="000000"/>
                <w:sz w:val="18"/>
                <w:szCs w:val="18"/>
              </w:rPr>
            </w:pPr>
          </w:p>
        </w:tc>
      </w:tr>
      <w:tr w:rsidR="00055BFC" w:rsidRPr="00487076" w14:paraId="3CDD4C17" w14:textId="77777777" w:rsidTr="00B92127">
        <w:trPr>
          <w:trHeight w:val="263"/>
        </w:trPr>
        <w:tc>
          <w:tcPr>
            <w:tcW w:w="3261" w:type="dxa"/>
            <w:shd w:val="clear" w:color="auto" w:fill="auto"/>
            <w:noWrap/>
            <w:vAlign w:val="bottom"/>
            <w:hideMark/>
          </w:tcPr>
          <w:p w14:paraId="24BD5C86" w14:textId="77777777" w:rsidR="00055BFC" w:rsidRPr="00487076" w:rsidRDefault="00055BFC" w:rsidP="00B92127">
            <w:pPr>
              <w:spacing w:line="240" w:lineRule="auto"/>
              <w:rPr>
                <w:rFonts w:eastAsia="Times New Roman"/>
                <w:color w:val="000000"/>
                <w:sz w:val="18"/>
                <w:szCs w:val="18"/>
              </w:rPr>
            </w:pPr>
            <w:r>
              <w:rPr>
                <w:color w:val="000000"/>
                <w:sz w:val="18"/>
              </w:rPr>
              <w:t>Восточная Европа и Центральная Азия</w:t>
            </w:r>
          </w:p>
        </w:tc>
        <w:tc>
          <w:tcPr>
            <w:tcW w:w="850" w:type="dxa"/>
            <w:shd w:val="clear" w:color="FFFFFF" w:fill="auto"/>
            <w:noWrap/>
            <w:vAlign w:val="bottom"/>
            <w:hideMark/>
          </w:tcPr>
          <w:p w14:paraId="0F933E6D" w14:textId="77777777" w:rsidR="00055BFC" w:rsidRPr="00487076" w:rsidRDefault="00055BFC" w:rsidP="00B92127">
            <w:pPr>
              <w:spacing w:line="240" w:lineRule="auto"/>
              <w:jc w:val="center"/>
              <w:rPr>
                <w:rFonts w:eastAsia="Times New Roman"/>
                <w:color w:val="000000"/>
                <w:sz w:val="18"/>
                <w:szCs w:val="18"/>
              </w:rPr>
            </w:pPr>
            <w:r>
              <w:rPr>
                <w:color w:val="000000"/>
                <w:sz w:val="18"/>
              </w:rPr>
              <w:t>3</w:t>
            </w:r>
          </w:p>
        </w:tc>
        <w:tc>
          <w:tcPr>
            <w:tcW w:w="1134" w:type="dxa"/>
            <w:shd w:val="clear" w:color="FFFFFF" w:fill="auto"/>
            <w:noWrap/>
            <w:vAlign w:val="center"/>
          </w:tcPr>
          <w:p w14:paraId="1ECE827D" w14:textId="77777777" w:rsidR="00055BFC" w:rsidRPr="00487076" w:rsidRDefault="00055BFC" w:rsidP="00B92127">
            <w:pPr>
              <w:spacing w:line="240" w:lineRule="auto"/>
              <w:jc w:val="center"/>
              <w:rPr>
                <w:rFonts w:eastAsia="Times New Roman"/>
                <w:color w:val="000000"/>
                <w:sz w:val="18"/>
                <w:szCs w:val="18"/>
              </w:rPr>
            </w:pPr>
            <w:r>
              <w:rPr>
                <w:color w:val="000000"/>
                <w:sz w:val="18"/>
              </w:rPr>
              <w:t>1</w:t>
            </w:r>
          </w:p>
        </w:tc>
        <w:tc>
          <w:tcPr>
            <w:tcW w:w="1843" w:type="dxa"/>
            <w:shd w:val="clear" w:color="FFFFFF" w:fill="auto"/>
            <w:noWrap/>
            <w:vAlign w:val="bottom"/>
            <w:hideMark/>
          </w:tcPr>
          <w:p w14:paraId="7370B34C" w14:textId="77777777" w:rsidR="00055BFC" w:rsidRPr="00487076" w:rsidRDefault="00055BFC" w:rsidP="00B92127">
            <w:pPr>
              <w:spacing w:line="240" w:lineRule="auto"/>
              <w:jc w:val="center"/>
              <w:rPr>
                <w:rFonts w:eastAsia="Times New Roman"/>
                <w:color w:val="000000"/>
                <w:sz w:val="18"/>
                <w:szCs w:val="18"/>
              </w:rPr>
            </w:pPr>
            <w:r>
              <w:rPr>
                <w:color w:val="000000"/>
                <w:sz w:val="18"/>
              </w:rPr>
              <w:t>2</w:t>
            </w:r>
          </w:p>
        </w:tc>
        <w:tc>
          <w:tcPr>
            <w:tcW w:w="1417" w:type="dxa"/>
            <w:shd w:val="clear" w:color="FFFFFF" w:fill="auto"/>
            <w:noWrap/>
            <w:vAlign w:val="bottom"/>
            <w:hideMark/>
          </w:tcPr>
          <w:p w14:paraId="459B6C29" w14:textId="77777777" w:rsidR="00055BFC" w:rsidRPr="00487076" w:rsidRDefault="00055BFC" w:rsidP="00B92127">
            <w:pPr>
              <w:spacing w:line="240" w:lineRule="auto"/>
              <w:jc w:val="center"/>
              <w:rPr>
                <w:rFonts w:eastAsia="Times New Roman"/>
                <w:color w:val="000000"/>
                <w:sz w:val="18"/>
                <w:szCs w:val="18"/>
              </w:rPr>
            </w:pPr>
          </w:p>
        </w:tc>
        <w:tc>
          <w:tcPr>
            <w:tcW w:w="1276" w:type="dxa"/>
            <w:shd w:val="clear" w:color="FFFFFF" w:fill="auto"/>
            <w:noWrap/>
            <w:vAlign w:val="bottom"/>
          </w:tcPr>
          <w:p w14:paraId="76913CFA" w14:textId="77777777" w:rsidR="00055BFC" w:rsidRPr="00487076" w:rsidRDefault="00055BFC" w:rsidP="00B92127">
            <w:pPr>
              <w:spacing w:line="240" w:lineRule="auto"/>
              <w:jc w:val="center"/>
              <w:rPr>
                <w:rFonts w:eastAsia="Times New Roman"/>
                <w:color w:val="000000"/>
                <w:sz w:val="18"/>
                <w:szCs w:val="18"/>
              </w:rPr>
            </w:pPr>
          </w:p>
        </w:tc>
      </w:tr>
      <w:tr w:rsidR="00055BFC" w:rsidRPr="00487076" w14:paraId="1331228B" w14:textId="77777777" w:rsidTr="00B92127">
        <w:trPr>
          <w:trHeight w:val="263"/>
        </w:trPr>
        <w:tc>
          <w:tcPr>
            <w:tcW w:w="3261" w:type="dxa"/>
            <w:shd w:val="clear" w:color="auto" w:fill="auto"/>
            <w:noWrap/>
            <w:vAlign w:val="bottom"/>
            <w:hideMark/>
          </w:tcPr>
          <w:p w14:paraId="10BCDF35" w14:textId="77777777" w:rsidR="00055BFC" w:rsidRPr="00487076" w:rsidRDefault="00055BFC" w:rsidP="00B92127">
            <w:pPr>
              <w:spacing w:line="240" w:lineRule="auto"/>
              <w:rPr>
                <w:rFonts w:eastAsia="Times New Roman"/>
                <w:color w:val="000000"/>
                <w:sz w:val="18"/>
                <w:szCs w:val="18"/>
              </w:rPr>
            </w:pPr>
            <w:r>
              <w:rPr>
                <w:color w:val="000000"/>
                <w:sz w:val="18"/>
              </w:rPr>
              <w:t>Восточная и Южная Африка</w:t>
            </w:r>
          </w:p>
        </w:tc>
        <w:tc>
          <w:tcPr>
            <w:tcW w:w="850" w:type="dxa"/>
            <w:shd w:val="clear" w:color="FFFFFF" w:fill="auto"/>
            <w:noWrap/>
            <w:vAlign w:val="bottom"/>
            <w:hideMark/>
          </w:tcPr>
          <w:p w14:paraId="38CBA75B" w14:textId="77777777" w:rsidR="00055BFC" w:rsidRPr="00487076" w:rsidRDefault="00055BFC" w:rsidP="00B92127">
            <w:pPr>
              <w:spacing w:line="240" w:lineRule="auto"/>
              <w:jc w:val="center"/>
              <w:rPr>
                <w:rFonts w:eastAsia="Times New Roman"/>
                <w:color w:val="000000"/>
                <w:sz w:val="18"/>
                <w:szCs w:val="18"/>
              </w:rPr>
            </w:pPr>
            <w:r>
              <w:rPr>
                <w:color w:val="000000"/>
                <w:sz w:val="18"/>
              </w:rPr>
              <w:t>4</w:t>
            </w:r>
          </w:p>
        </w:tc>
        <w:tc>
          <w:tcPr>
            <w:tcW w:w="1134" w:type="dxa"/>
            <w:shd w:val="clear" w:color="FFFFFF" w:fill="auto"/>
            <w:noWrap/>
            <w:vAlign w:val="bottom"/>
          </w:tcPr>
          <w:p w14:paraId="77E02340" w14:textId="77777777" w:rsidR="00055BFC" w:rsidRPr="00487076" w:rsidRDefault="00055BFC" w:rsidP="00B92127">
            <w:pPr>
              <w:spacing w:line="240" w:lineRule="auto"/>
              <w:jc w:val="center"/>
              <w:rPr>
                <w:rFonts w:eastAsia="Times New Roman"/>
                <w:color w:val="000000"/>
                <w:sz w:val="18"/>
                <w:szCs w:val="18"/>
              </w:rPr>
            </w:pPr>
          </w:p>
        </w:tc>
        <w:tc>
          <w:tcPr>
            <w:tcW w:w="1843" w:type="dxa"/>
            <w:shd w:val="clear" w:color="FFFFFF" w:fill="auto"/>
            <w:noWrap/>
            <w:vAlign w:val="bottom"/>
            <w:hideMark/>
          </w:tcPr>
          <w:p w14:paraId="6CB53C3E" w14:textId="77777777" w:rsidR="00055BFC" w:rsidRPr="00487076" w:rsidRDefault="00055BFC" w:rsidP="00B92127">
            <w:pPr>
              <w:spacing w:line="240" w:lineRule="auto"/>
              <w:jc w:val="center"/>
              <w:rPr>
                <w:rFonts w:eastAsia="Times New Roman"/>
                <w:color w:val="000000"/>
                <w:sz w:val="18"/>
                <w:szCs w:val="18"/>
              </w:rPr>
            </w:pPr>
            <w:r>
              <w:rPr>
                <w:color w:val="000000"/>
                <w:sz w:val="18"/>
              </w:rPr>
              <w:t>1</w:t>
            </w:r>
          </w:p>
        </w:tc>
        <w:tc>
          <w:tcPr>
            <w:tcW w:w="1417" w:type="dxa"/>
            <w:shd w:val="clear" w:color="FFFFFF" w:fill="auto"/>
            <w:noWrap/>
            <w:vAlign w:val="bottom"/>
            <w:hideMark/>
          </w:tcPr>
          <w:p w14:paraId="7FD5093C" w14:textId="77777777" w:rsidR="00055BFC" w:rsidRPr="00487076" w:rsidRDefault="00055BFC" w:rsidP="00B92127">
            <w:pPr>
              <w:spacing w:line="240" w:lineRule="auto"/>
              <w:jc w:val="center"/>
              <w:rPr>
                <w:rFonts w:eastAsia="Times New Roman"/>
                <w:color w:val="000000"/>
                <w:sz w:val="18"/>
                <w:szCs w:val="18"/>
              </w:rPr>
            </w:pPr>
            <w:r>
              <w:rPr>
                <w:color w:val="000000"/>
                <w:sz w:val="18"/>
              </w:rPr>
              <w:t>2</w:t>
            </w:r>
          </w:p>
        </w:tc>
        <w:tc>
          <w:tcPr>
            <w:tcW w:w="1276" w:type="dxa"/>
            <w:shd w:val="clear" w:color="FFFFFF" w:fill="auto"/>
            <w:noWrap/>
            <w:vAlign w:val="bottom"/>
          </w:tcPr>
          <w:p w14:paraId="2AD04699" w14:textId="77777777" w:rsidR="00055BFC" w:rsidRPr="00487076" w:rsidRDefault="00055BFC" w:rsidP="00B92127">
            <w:pPr>
              <w:spacing w:line="240" w:lineRule="auto"/>
              <w:jc w:val="center"/>
              <w:rPr>
                <w:rFonts w:eastAsia="Times New Roman"/>
                <w:color w:val="000000"/>
                <w:sz w:val="18"/>
                <w:szCs w:val="18"/>
              </w:rPr>
            </w:pPr>
            <w:r>
              <w:rPr>
                <w:color w:val="000000"/>
                <w:sz w:val="18"/>
              </w:rPr>
              <w:t>1</w:t>
            </w:r>
          </w:p>
        </w:tc>
      </w:tr>
      <w:tr w:rsidR="00055BFC" w:rsidRPr="00487076" w14:paraId="3CC0E6D4" w14:textId="77777777" w:rsidTr="00B92127">
        <w:trPr>
          <w:trHeight w:val="263"/>
        </w:trPr>
        <w:tc>
          <w:tcPr>
            <w:tcW w:w="3261" w:type="dxa"/>
            <w:shd w:val="clear" w:color="auto" w:fill="auto"/>
            <w:noWrap/>
            <w:vAlign w:val="bottom"/>
          </w:tcPr>
          <w:p w14:paraId="5F06E27F" w14:textId="77777777" w:rsidR="00055BFC" w:rsidRPr="00487076" w:rsidRDefault="00055BFC" w:rsidP="00B92127">
            <w:pPr>
              <w:spacing w:line="240" w:lineRule="auto"/>
              <w:rPr>
                <w:rFonts w:eastAsia="Times New Roman"/>
                <w:color w:val="000000"/>
                <w:sz w:val="18"/>
                <w:szCs w:val="18"/>
              </w:rPr>
            </w:pPr>
            <w:r>
              <w:rPr>
                <w:color w:val="000000"/>
                <w:sz w:val="18"/>
              </w:rPr>
              <w:t>Латинская Америка и Карибский бассейн</w:t>
            </w:r>
          </w:p>
        </w:tc>
        <w:tc>
          <w:tcPr>
            <w:tcW w:w="850" w:type="dxa"/>
            <w:shd w:val="clear" w:color="FFFFFF" w:fill="auto"/>
            <w:noWrap/>
            <w:vAlign w:val="bottom"/>
          </w:tcPr>
          <w:p w14:paraId="262BFE3A" w14:textId="77777777" w:rsidR="00055BFC" w:rsidRPr="00487076" w:rsidRDefault="00055BFC" w:rsidP="00B92127">
            <w:pPr>
              <w:spacing w:line="240" w:lineRule="auto"/>
              <w:jc w:val="center"/>
              <w:rPr>
                <w:rFonts w:eastAsia="Times New Roman"/>
                <w:color w:val="000000"/>
                <w:sz w:val="18"/>
                <w:szCs w:val="18"/>
              </w:rPr>
            </w:pPr>
            <w:r>
              <w:rPr>
                <w:color w:val="000000"/>
                <w:sz w:val="18"/>
              </w:rPr>
              <w:t>5</w:t>
            </w:r>
          </w:p>
        </w:tc>
        <w:tc>
          <w:tcPr>
            <w:tcW w:w="1134" w:type="dxa"/>
            <w:shd w:val="clear" w:color="FFFFFF" w:fill="auto"/>
            <w:noWrap/>
            <w:vAlign w:val="center"/>
          </w:tcPr>
          <w:p w14:paraId="00C4B39E" w14:textId="77777777" w:rsidR="00055BFC" w:rsidRPr="00487076" w:rsidRDefault="00055BFC" w:rsidP="00B92127">
            <w:pPr>
              <w:spacing w:line="240" w:lineRule="auto"/>
              <w:jc w:val="center"/>
              <w:rPr>
                <w:rFonts w:eastAsia="Times New Roman"/>
                <w:color w:val="000000"/>
                <w:sz w:val="18"/>
                <w:szCs w:val="18"/>
              </w:rPr>
            </w:pPr>
            <w:r>
              <w:rPr>
                <w:color w:val="000000"/>
                <w:sz w:val="18"/>
              </w:rPr>
              <w:t>3</w:t>
            </w:r>
          </w:p>
        </w:tc>
        <w:tc>
          <w:tcPr>
            <w:tcW w:w="1843" w:type="dxa"/>
            <w:shd w:val="clear" w:color="FFFFFF" w:fill="auto"/>
            <w:noWrap/>
            <w:vAlign w:val="bottom"/>
          </w:tcPr>
          <w:p w14:paraId="152B5EE3" w14:textId="77777777" w:rsidR="00055BFC" w:rsidRPr="00487076" w:rsidRDefault="00055BFC" w:rsidP="00B92127">
            <w:pPr>
              <w:spacing w:line="240" w:lineRule="auto"/>
              <w:jc w:val="center"/>
              <w:rPr>
                <w:rFonts w:eastAsia="Times New Roman"/>
                <w:color w:val="000000"/>
                <w:sz w:val="18"/>
                <w:szCs w:val="18"/>
              </w:rPr>
            </w:pPr>
            <w:r>
              <w:rPr>
                <w:color w:val="000000"/>
                <w:sz w:val="18"/>
              </w:rPr>
              <w:t>2</w:t>
            </w:r>
          </w:p>
        </w:tc>
        <w:tc>
          <w:tcPr>
            <w:tcW w:w="1417" w:type="dxa"/>
            <w:shd w:val="clear" w:color="FFFFFF" w:fill="auto"/>
            <w:noWrap/>
            <w:vAlign w:val="bottom"/>
          </w:tcPr>
          <w:p w14:paraId="3BE3DD91" w14:textId="77777777" w:rsidR="00055BFC" w:rsidRPr="00487076" w:rsidRDefault="00055BFC" w:rsidP="00B92127">
            <w:pPr>
              <w:spacing w:line="240" w:lineRule="auto"/>
              <w:jc w:val="center"/>
              <w:rPr>
                <w:rFonts w:eastAsia="Times New Roman"/>
                <w:color w:val="000000"/>
                <w:sz w:val="18"/>
                <w:szCs w:val="18"/>
              </w:rPr>
            </w:pPr>
          </w:p>
        </w:tc>
        <w:tc>
          <w:tcPr>
            <w:tcW w:w="1276" w:type="dxa"/>
            <w:shd w:val="clear" w:color="FFFFFF" w:fill="auto"/>
            <w:noWrap/>
            <w:vAlign w:val="bottom"/>
          </w:tcPr>
          <w:p w14:paraId="2FB7E45F" w14:textId="77777777" w:rsidR="00055BFC" w:rsidRPr="00487076" w:rsidRDefault="00055BFC" w:rsidP="00B92127">
            <w:pPr>
              <w:spacing w:line="240" w:lineRule="auto"/>
              <w:jc w:val="center"/>
              <w:rPr>
                <w:rFonts w:eastAsia="Times New Roman"/>
                <w:color w:val="000000"/>
                <w:sz w:val="18"/>
                <w:szCs w:val="18"/>
              </w:rPr>
            </w:pPr>
          </w:p>
        </w:tc>
      </w:tr>
      <w:tr w:rsidR="00055BFC" w:rsidRPr="00487076" w14:paraId="30A689BA" w14:textId="77777777" w:rsidTr="00B92127">
        <w:trPr>
          <w:trHeight w:val="263"/>
        </w:trPr>
        <w:tc>
          <w:tcPr>
            <w:tcW w:w="3261" w:type="dxa"/>
            <w:shd w:val="clear" w:color="auto" w:fill="auto"/>
            <w:noWrap/>
            <w:vAlign w:val="bottom"/>
            <w:hideMark/>
          </w:tcPr>
          <w:p w14:paraId="4F643672" w14:textId="77777777" w:rsidR="00055BFC" w:rsidRPr="00487076" w:rsidRDefault="00055BFC" w:rsidP="00B92127">
            <w:pPr>
              <w:spacing w:line="240" w:lineRule="auto"/>
              <w:rPr>
                <w:rFonts w:eastAsia="Times New Roman"/>
                <w:color w:val="000000"/>
                <w:sz w:val="18"/>
                <w:szCs w:val="18"/>
              </w:rPr>
            </w:pPr>
            <w:r>
              <w:rPr>
                <w:color w:val="000000"/>
                <w:sz w:val="18"/>
              </w:rPr>
              <w:t>Западная и Центральная Африка</w:t>
            </w:r>
          </w:p>
        </w:tc>
        <w:tc>
          <w:tcPr>
            <w:tcW w:w="850" w:type="dxa"/>
            <w:shd w:val="clear" w:color="FFFFFF" w:fill="auto"/>
            <w:noWrap/>
            <w:vAlign w:val="bottom"/>
            <w:hideMark/>
          </w:tcPr>
          <w:p w14:paraId="52898EAD" w14:textId="77777777" w:rsidR="00055BFC" w:rsidRPr="00487076" w:rsidRDefault="00055BFC" w:rsidP="00B92127">
            <w:pPr>
              <w:spacing w:line="240" w:lineRule="auto"/>
              <w:jc w:val="center"/>
              <w:rPr>
                <w:rFonts w:eastAsia="Times New Roman"/>
                <w:color w:val="000000"/>
                <w:sz w:val="18"/>
                <w:szCs w:val="18"/>
              </w:rPr>
            </w:pPr>
            <w:r>
              <w:rPr>
                <w:color w:val="000000"/>
                <w:sz w:val="18"/>
              </w:rPr>
              <w:t>4</w:t>
            </w:r>
          </w:p>
        </w:tc>
        <w:tc>
          <w:tcPr>
            <w:tcW w:w="1134" w:type="dxa"/>
            <w:shd w:val="clear" w:color="FFFFFF" w:fill="auto"/>
            <w:noWrap/>
            <w:vAlign w:val="center"/>
          </w:tcPr>
          <w:p w14:paraId="023365D5" w14:textId="77777777" w:rsidR="00055BFC" w:rsidRPr="00487076" w:rsidRDefault="00055BFC" w:rsidP="00B92127">
            <w:pPr>
              <w:spacing w:line="240" w:lineRule="auto"/>
              <w:jc w:val="center"/>
              <w:rPr>
                <w:rFonts w:eastAsia="Times New Roman"/>
                <w:color w:val="000000"/>
                <w:sz w:val="18"/>
                <w:szCs w:val="18"/>
              </w:rPr>
            </w:pPr>
          </w:p>
        </w:tc>
        <w:tc>
          <w:tcPr>
            <w:tcW w:w="1843" w:type="dxa"/>
            <w:shd w:val="clear" w:color="FFFFFF" w:fill="auto"/>
            <w:noWrap/>
            <w:vAlign w:val="bottom"/>
            <w:hideMark/>
          </w:tcPr>
          <w:p w14:paraId="08D64DD6" w14:textId="77777777" w:rsidR="00055BFC" w:rsidRPr="00487076" w:rsidRDefault="00055BFC" w:rsidP="00B92127">
            <w:pPr>
              <w:spacing w:line="240" w:lineRule="auto"/>
              <w:jc w:val="center"/>
              <w:rPr>
                <w:rFonts w:eastAsia="Times New Roman"/>
                <w:color w:val="000000"/>
                <w:sz w:val="18"/>
                <w:szCs w:val="18"/>
              </w:rPr>
            </w:pPr>
            <w:r>
              <w:rPr>
                <w:color w:val="000000"/>
                <w:sz w:val="18"/>
              </w:rPr>
              <w:t>1</w:t>
            </w:r>
          </w:p>
        </w:tc>
        <w:tc>
          <w:tcPr>
            <w:tcW w:w="1417" w:type="dxa"/>
            <w:shd w:val="clear" w:color="FFFFFF" w:fill="auto"/>
            <w:noWrap/>
            <w:vAlign w:val="bottom"/>
            <w:hideMark/>
          </w:tcPr>
          <w:p w14:paraId="2074B9BA" w14:textId="77777777" w:rsidR="00055BFC" w:rsidRPr="00487076" w:rsidRDefault="00055BFC" w:rsidP="00B92127">
            <w:pPr>
              <w:spacing w:line="240" w:lineRule="auto"/>
              <w:jc w:val="center"/>
              <w:rPr>
                <w:rFonts w:eastAsia="Times New Roman"/>
                <w:color w:val="000000"/>
                <w:sz w:val="18"/>
                <w:szCs w:val="18"/>
              </w:rPr>
            </w:pPr>
            <w:r>
              <w:rPr>
                <w:color w:val="000000"/>
                <w:sz w:val="18"/>
              </w:rPr>
              <w:t>2</w:t>
            </w:r>
          </w:p>
        </w:tc>
        <w:tc>
          <w:tcPr>
            <w:tcW w:w="1276" w:type="dxa"/>
            <w:shd w:val="clear" w:color="FFFFFF" w:fill="auto"/>
            <w:noWrap/>
            <w:vAlign w:val="bottom"/>
          </w:tcPr>
          <w:p w14:paraId="3905DAC5" w14:textId="77777777" w:rsidR="00055BFC" w:rsidRPr="00487076" w:rsidRDefault="00055BFC" w:rsidP="00B92127">
            <w:pPr>
              <w:spacing w:line="240" w:lineRule="auto"/>
              <w:jc w:val="center"/>
              <w:rPr>
                <w:rFonts w:eastAsia="Times New Roman"/>
                <w:color w:val="000000"/>
                <w:sz w:val="18"/>
                <w:szCs w:val="18"/>
              </w:rPr>
            </w:pPr>
            <w:r>
              <w:rPr>
                <w:color w:val="000000"/>
                <w:sz w:val="18"/>
              </w:rPr>
              <w:t>1</w:t>
            </w:r>
          </w:p>
        </w:tc>
      </w:tr>
      <w:tr w:rsidR="00055BFC" w:rsidRPr="00487076" w14:paraId="10DDADEB" w14:textId="77777777" w:rsidTr="00B92127">
        <w:trPr>
          <w:trHeight w:val="263"/>
        </w:trPr>
        <w:tc>
          <w:tcPr>
            <w:tcW w:w="3261" w:type="dxa"/>
            <w:tcBorders>
              <w:bottom w:val="single" w:sz="2" w:space="0" w:color="auto"/>
            </w:tcBorders>
            <w:shd w:val="clear" w:color="000000" w:fill="F2F2F2"/>
            <w:noWrap/>
            <w:vAlign w:val="center"/>
            <w:hideMark/>
          </w:tcPr>
          <w:p w14:paraId="7FFE71BE" w14:textId="77777777" w:rsidR="00055BFC" w:rsidRPr="00487076" w:rsidRDefault="00055BFC" w:rsidP="00B92127">
            <w:pPr>
              <w:spacing w:line="240" w:lineRule="auto"/>
              <w:rPr>
                <w:rFonts w:eastAsia="Times New Roman"/>
                <w:i/>
                <w:iCs/>
                <w:color w:val="000000"/>
                <w:sz w:val="18"/>
                <w:szCs w:val="18"/>
              </w:rPr>
            </w:pPr>
            <w:r>
              <w:rPr>
                <w:i/>
                <w:color w:val="000000"/>
                <w:sz w:val="18"/>
              </w:rPr>
              <w:t>Промежуточный итог — аудиты страновых отделений</w:t>
            </w:r>
          </w:p>
        </w:tc>
        <w:tc>
          <w:tcPr>
            <w:tcW w:w="850" w:type="dxa"/>
            <w:tcBorders>
              <w:bottom w:val="single" w:sz="2" w:space="0" w:color="auto"/>
            </w:tcBorders>
            <w:shd w:val="clear" w:color="FFFFFF" w:fill="F2F2F2"/>
            <w:noWrap/>
            <w:vAlign w:val="center"/>
            <w:hideMark/>
          </w:tcPr>
          <w:p w14:paraId="5F5E89AC" w14:textId="77777777" w:rsidR="00055BFC" w:rsidRPr="00487076" w:rsidRDefault="00055BFC" w:rsidP="00B92127">
            <w:pPr>
              <w:spacing w:line="240" w:lineRule="auto"/>
              <w:jc w:val="center"/>
              <w:rPr>
                <w:rFonts w:eastAsia="Times New Roman"/>
                <w:i/>
                <w:iCs/>
                <w:color w:val="000000"/>
                <w:sz w:val="18"/>
                <w:szCs w:val="18"/>
              </w:rPr>
            </w:pPr>
            <w:r>
              <w:rPr>
                <w:i/>
                <w:color w:val="000000"/>
                <w:sz w:val="18"/>
              </w:rPr>
              <w:t>22</w:t>
            </w:r>
          </w:p>
        </w:tc>
        <w:tc>
          <w:tcPr>
            <w:tcW w:w="1134" w:type="dxa"/>
            <w:tcBorders>
              <w:bottom w:val="single" w:sz="2" w:space="0" w:color="auto"/>
            </w:tcBorders>
            <w:shd w:val="clear" w:color="FFFFFF" w:fill="F2F2F2"/>
            <w:noWrap/>
            <w:vAlign w:val="center"/>
          </w:tcPr>
          <w:p w14:paraId="48D46ADE" w14:textId="77777777" w:rsidR="00055BFC" w:rsidRPr="00487076" w:rsidRDefault="00055BFC" w:rsidP="00B92127">
            <w:pPr>
              <w:spacing w:line="240" w:lineRule="auto"/>
              <w:jc w:val="center"/>
              <w:rPr>
                <w:rFonts w:eastAsia="Times New Roman"/>
                <w:i/>
                <w:iCs/>
                <w:color w:val="000000"/>
                <w:sz w:val="18"/>
                <w:szCs w:val="18"/>
              </w:rPr>
            </w:pPr>
            <w:r>
              <w:rPr>
                <w:i/>
                <w:color w:val="000000"/>
                <w:sz w:val="18"/>
              </w:rPr>
              <w:t>5</w:t>
            </w:r>
          </w:p>
        </w:tc>
        <w:tc>
          <w:tcPr>
            <w:tcW w:w="1843" w:type="dxa"/>
            <w:tcBorders>
              <w:bottom w:val="single" w:sz="2" w:space="0" w:color="auto"/>
            </w:tcBorders>
            <w:shd w:val="clear" w:color="FFFFFF" w:fill="F2F2F2"/>
            <w:noWrap/>
            <w:vAlign w:val="center"/>
            <w:hideMark/>
          </w:tcPr>
          <w:p w14:paraId="1814A942" w14:textId="77777777" w:rsidR="00055BFC" w:rsidRPr="00487076" w:rsidRDefault="00055BFC" w:rsidP="00B92127">
            <w:pPr>
              <w:spacing w:line="240" w:lineRule="auto"/>
              <w:jc w:val="center"/>
              <w:rPr>
                <w:rFonts w:eastAsia="Times New Roman"/>
                <w:i/>
                <w:iCs/>
                <w:color w:val="000000"/>
                <w:sz w:val="18"/>
                <w:szCs w:val="18"/>
              </w:rPr>
            </w:pPr>
            <w:r>
              <w:rPr>
                <w:i/>
                <w:color w:val="000000"/>
                <w:sz w:val="18"/>
              </w:rPr>
              <w:t>9</w:t>
            </w:r>
          </w:p>
        </w:tc>
        <w:tc>
          <w:tcPr>
            <w:tcW w:w="1417" w:type="dxa"/>
            <w:tcBorders>
              <w:bottom w:val="single" w:sz="2" w:space="0" w:color="auto"/>
            </w:tcBorders>
            <w:shd w:val="clear" w:color="FFFFFF" w:fill="F2F2F2"/>
            <w:noWrap/>
            <w:vAlign w:val="center"/>
            <w:hideMark/>
          </w:tcPr>
          <w:p w14:paraId="6BADFDF3" w14:textId="77777777" w:rsidR="00055BFC" w:rsidRPr="00487076" w:rsidRDefault="00055BFC" w:rsidP="00B92127">
            <w:pPr>
              <w:spacing w:line="240" w:lineRule="auto"/>
              <w:jc w:val="center"/>
              <w:rPr>
                <w:rFonts w:eastAsia="Times New Roman"/>
                <w:i/>
                <w:iCs/>
                <w:color w:val="000000"/>
                <w:sz w:val="18"/>
                <w:szCs w:val="18"/>
              </w:rPr>
            </w:pPr>
            <w:r>
              <w:rPr>
                <w:i/>
                <w:color w:val="000000"/>
                <w:sz w:val="18"/>
              </w:rPr>
              <w:t>5</w:t>
            </w:r>
          </w:p>
        </w:tc>
        <w:tc>
          <w:tcPr>
            <w:tcW w:w="1276" w:type="dxa"/>
            <w:tcBorders>
              <w:bottom w:val="single" w:sz="2" w:space="0" w:color="auto"/>
            </w:tcBorders>
            <w:shd w:val="clear" w:color="FFFFFF" w:fill="F2F2F2"/>
            <w:noWrap/>
            <w:vAlign w:val="center"/>
          </w:tcPr>
          <w:p w14:paraId="0CF43D3B" w14:textId="77777777" w:rsidR="00055BFC" w:rsidRPr="00487076" w:rsidRDefault="00055BFC" w:rsidP="00B92127">
            <w:pPr>
              <w:spacing w:line="240" w:lineRule="auto"/>
              <w:jc w:val="center"/>
              <w:rPr>
                <w:rFonts w:eastAsia="Times New Roman"/>
                <w:i/>
                <w:iCs/>
                <w:color w:val="000000"/>
                <w:sz w:val="18"/>
                <w:szCs w:val="18"/>
              </w:rPr>
            </w:pPr>
            <w:r>
              <w:rPr>
                <w:i/>
                <w:color w:val="000000"/>
                <w:sz w:val="18"/>
              </w:rPr>
              <w:t>3</w:t>
            </w:r>
          </w:p>
        </w:tc>
      </w:tr>
      <w:tr w:rsidR="00055BFC" w:rsidRPr="00487076" w14:paraId="773ECCAB" w14:textId="77777777" w:rsidTr="00B92127">
        <w:trPr>
          <w:trHeight w:val="263"/>
        </w:trPr>
        <w:tc>
          <w:tcPr>
            <w:tcW w:w="3261" w:type="dxa"/>
            <w:shd w:val="clear" w:color="auto" w:fill="auto"/>
            <w:noWrap/>
            <w:vAlign w:val="center"/>
          </w:tcPr>
          <w:p w14:paraId="2365CDAA" w14:textId="77777777" w:rsidR="00055BFC" w:rsidRPr="00487076" w:rsidRDefault="00055BFC" w:rsidP="00B92127">
            <w:pPr>
              <w:spacing w:line="240" w:lineRule="auto"/>
              <w:rPr>
                <w:rFonts w:eastAsia="Times New Roman"/>
                <w:i/>
                <w:iCs/>
                <w:color w:val="000000"/>
                <w:sz w:val="18"/>
                <w:szCs w:val="18"/>
              </w:rPr>
            </w:pPr>
            <w:r>
              <w:rPr>
                <w:b/>
                <w:color w:val="000000"/>
                <w:sz w:val="18"/>
              </w:rPr>
              <w:t>Аудиты субрегиональных отделений:</w:t>
            </w:r>
          </w:p>
        </w:tc>
        <w:tc>
          <w:tcPr>
            <w:tcW w:w="850" w:type="dxa"/>
            <w:shd w:val="clear" w:color="auto" w:fill="auto"/>
            <w:noWrap/>
            <w:vAlign w:val="center"/>
          </w:tcPr>
          <w:p w14:paraId="138FBC91" w14:textId="77777777" w:rsidR="00055BFC" w:rsidRPr="00487076" w:rsidRDefault="00055BFC" w:rsidP="00B92127">
            <w:pPr>
              <w:spacing w:line="240" w:lineRule="auto"/>
              <w:jc w:val="center"/>
              <w:rPr>
                <w:rFonts w:eastAsia="Times New Roman"/>
                <w:i/>
                <w:iCs/>
                <w:color w:val="000000"/>
                <w:sz w:val="18"/>
                <w:szCs w:val="18"/>
              </w:rPr>
            </w:pPr>
          </w:p>
        </w:tc>
        <w:tc>
          <w:tcPr>
            <w:tcW w:w="1134" w:type="dxa"/>
            <w:shd w:val="clear" w:color="auto" w:fill="auto"/>
            <w:noWrap/>
            <w:vAlign w:val="center"/>
          </w:tcPr>
          <w:p w14:paraId="0C41B6EF" w14:textId="77777777" w:rsidR="00055BFC" w:rsidRPr="00487076" w:rsidRDefault="00055BFC" w:rsidP="00B92127">
            <w:pPr>
              <w:spacing w:line="240" w:lineRule="auto"/>
              <w:jc w:val="center"/>
              <w:rPr>
                <w:rFonts w:eastAsia="Times New Roman"/>
                <w:color w:val="000000"/>
                <w:sz w:val="18"/>
                <w:szCs w:val="18"/>
              </w:rPr>
            </w:pPr>
          </w:p>
        </w:tc>
        <w:tc>
          <w:tcPr>
            <w:tcW w:w="1843" w:type="dxa"/>
            <w:shd w:val="clear" w:color="auto" w:fill="auto"/>
            <w:noWrap/>
            <w:vAlign w:val="center"/>
          </w:tcPr>
          <w:p w14:paraId="5013A166" w14:textId="77777777" w:rsidR="00055BFC" w:rsidRPr="00487076" w:rsidRDefault="00055BFC" w:rsidP="00B92127">
            <w:pPr>
              <w:spacing w:line="240" w:lineRule="auto"/>
              <w:jc w:val="center"/>
              <w:rPr>
                <w:rFonts w:eastAsia="Times New Roman"/>
                <w:color w:val="000000"/>
                <w:sz w:val="18"/>
                <w:szCs w:val="18"/>
              </w:rPr>
            </w:pPr>
          </w:p>
        </w:tc>
        <w:tc>
          <w:tcPr>
            <w:tcW w:w="1417" w:type="dxa"/>
            <w:shd w:val="clear" w:color="auto" w:fill="auto"/>
            <w:noWrap/>
            <w:vAlign w:val="center"/>
          </w:tcPr>
          <w:p w14:paraId="1C23B733" w14:textId="77777777" w:rsidR="00055BFC" w:rsidRPr="00487076" w:rsidRDefault="00055BFC" w:rsidP="00B92127">
            <w:pPr>
              <w:spacing w:line="240" w:lineRule="auto"/>
              <w:jc w:val="center"/>
              <w:rPr>
                <w:rFonts w:eastAsia="Times New Roman"/>
                <w:color w:val="000000"/>
                <w:sz w:val="18"/>
                <w:szCs w:val="18"/>
              </w:rPr>
            </w:pPr>
          </w:p>
        </w:tc>
        <w:tc>
          <w:tcPr>
            <w:tcW w:w="1276" w:type="dxa"/>
            <w:shd w:val="clear" w:color="auto" w:fill="auto"/>
            <w:noWrap/>
            <w:vAlign w:val="center"/>
          </w:tcPr>
          <w:p w14:paraId="2137DDA5" w14:textId="77777777" w:rsidR="00055BFC" w:rsidRPr="00487076" w:rsidRDefault="00055BFC" w:rsidP="00B92127">
            <w:pPr>
              <w:spacing w:line="240" w:lineRule="auto"/>
              <w:jc w:val="center"/>
              <w:rPr>
                <w:rFonts w:eastAsia="Times New Roman"/>
                <w:color w:val="000000"/>
                <w:sz w:val="18"/>
                <w:szCs w:val="18"/>
              </w:rPr>
            </w:pPr>
          </w:p>
        </w:tc>
      </w:tr>
      <w:tr w:rsidR="00055BFC" w:rsidRPr="00487076" w14:paraId="32760A54" w14:textId="77777777" w:rsidTr="00B92127">
        <w:trPr>
          <w:trHeight w:val="263"/>
        </w:trPr>
        <w:tc>
          <w:tcPr>
            <w:tcW w:w="3261" w:type="dxa"/>
            <w:shd w:val="clear" w:color="auto" w:fill="auto"/>
            <w:noWrap/>
            <w:vAlign w:val="center"/>
          </w:tcPr>
          <w:p w14:paraId="3F3EB222" w14:textId="77777777" w:rsidR="00055BFC" w:rsidRPr="00487076" w:rsidRDefault="00055BFC" w:rsidP="00B92127">
            <w:pPr>
              <w:spacing w:line="240" w:lineRule="auto"/>
              <w:rPr>
                <w:rFonts w:eastAsia="Times New Roman"/>
                <w:i/>
                <w:iCs/>
                <w:color w:val="000000"/>
                <w:sz w:val="18"/>
                <w:szCs w:val="18"/>
              </w:rPr>
            </w:pPr>
            <w:r>
              <w:rPr>
                <w:i/>
                <w:color w:val="000000"/>
                <w:sz w:val="18"/>
              </w:rPr>
              <w:t>Субрегиональное отделение стран Латинской Америки и Карибского бассейна</w:t>
            </w:r>
          </w:p>
        </w:tc>
        <w:tc>
          <w:tcPr>
            <w:tcW w:w="850" w:type="dxa"/>
            <w:shd w:val="clear" w:color="auto" w:fill="auto"/>
            <w:noWrap/>
            <w:vAlign w:val="center"/>
          </w:tcPr>
          <w:p w14:paraId="63449F7C" w14:textId="77777777" w:rsidR="00055BFC" w:rsidRPr="00487076" w:rsidRDefault="00055BFC" w:rsidP="00B92127">
            <w:pPr>
              <w:spacing w:line="240" w:lineRule="auto"/>
              <w:jc w:val="center"/>
              <w:rPr>
                <w:rFonts w:eastAsia="Times New Roman"/>
                <w:i/>
                <w:iCs/>
                <w:color w:val="000000"/>
                <w:sz w:val="18"/>
                <w:szCs w:val="18"/>
              </w:rPr>
            </w:pPr>
            <w:r>
              <w:rPr>
                <w:color w:val="000000"/>
                <w:sz w:val="18"/>
              </w:rPr>
              <w:t>1</w:t>
            </w:r>
          </w:p>
        </w:tc>
        <w:tc>
          <w:tcPr>
            <w:tcW w:w="1134" w:type="dxa"/>
            <w:shd w:val="clear" w:color="auto" w:fill="auto"/>
            <w:noWrap/>
            <w:vAlign w:val="center"/>
          </w:tcPr>
          <w:p w14:paraId="5AA74FC8" w14:textId="77777777" w:rsidR="00055BFC" w:rsidRPr="00487076" w:rsidRDefault="00055BFC" w:rsidP="00B92127">
            <w:pPr>
              <w:spacing w:line="240" w:lineRule="auto"/>
              <w:jc w:val="center"/>
              <w:rPr>
                <w:rFonts w:eastAsia="Times New Roman"/>
                <w:color w:val="000000"/>
                <w:sz w:val="18"/>
                <w:szCs w:val="18"/>
              </w:rPr>
            </w:pPr>
          </w:p>
        </w:tc>
        <w:tc>
          <w:tcPr>
            <w:tcW w:w="1843" w:type="dxa"/>
            <w:shd w:val="clear" w:color="auto" w:fill="auto"/>
            <w:noWrap/>
            <w:vAlign w:val="center"/>
          </w:tcPr>
          <w:p w14:paraId="5FAC8F89" w14:textId="77777777" w:rsidR="00055BFC" w:rsidRPr="00487076" w:rsidRDefault="00055BFC" w:rsidP="00B92127">
            <w:pPr>
              <w:spacing w:line="240" w:lineRule="auto"/>
              <w:jc w:val="center"/>
              <w:rPr>
                <w:rFonts w:eastAsia="Times New Roman"/>
                <w:color w:val="000000"/>
                <w:sz w:val="18"/>
                <w:szCs w:val="18"/>
              </w:rPr>
            </w:pPr>
            <w:r>
              <w:rPr>
                <w:color w:val="000000"/>
                <w:sz w:val="18"/>
              </w:rPr>
              <w:t>1</w:t>
            </w:r>
          </w:p>
        </w:tc>
        <w:tc>
          <w:tcPr>
            <w:tcW w:w="1417" w:type="dxa"/>
            <w:shd w:val="clear" w:color="auto" w:fill="auto"/>
            <w:noWrap/>
            <w:vAlign w:val="center"/>
          </w:tcPr>
          <w:p w14:paraId="7A0B597A" w14:textId="77777777" w:rsidR="00055BFC" w:rsidRPr="00487076" w:rsidRDefault="00055BFC" w:rsidP="00B92127">
            <w:pPr>
              <w:spacing w:line="240" w:lineRule="auto"/>
              <w:jc w:val="center"/>
              <w:rPr>
                <w:rFonts w:eastAsia="Times New Roman"/>
                <w:color w:val="000000"/>
                <w:sz w:val="18"/>
                <w:szCs w:val="18"/>
              </w:rPr>
            </w:pPr>
          </w:p>
        </w:tc>
        <w:tc>
          <w:tcPr>
            <w:tcW w:w="1276" w:type="dxa"/>
            <w:shd w:val="clear" w:color="auto" w:fill="auto"/>
            <w:noWrap/>
            <w:vAlign w:val="center"/>
          </w:tcPr>
          <w:p w14:paraId="20748DF1" w14:textId="77777777" w:rsidR="00055BFC" w:rsidRPr="00487076" w:rsidRDefault="00055BFC" w:rsidP="00B92127">
            <w:pPr>
              <w:spacing w:line="240" w:lineRule="auto"/>
              <w:jc w:val="center"/>
              <w:rPr>
                <w:rFonts w:eastAsia="Times New Roman"/>
                <w:color w:val="000000"/>
                <w:sz w:val="18"/>
                <w:szCs w:val="18"/>
              </w:rPr>
            </w:pPr>
          </w:p>
        </w:tc>
      </w:tr>
      <w:tr w:rsidR="00055BFC" w:rsidRPr="00487076" w14:paraId="43630452" w14:textId="77777777" w:rsidTr="00B92127">
        <w:trPr>
          <w:trHeight w:val="263"/>
        </w:trPr>
        <w:tc>
          <w:tcPr>
            <w:tcW w:w="3261" w:type="dxa"/>
            <w:shd w:val="clear" w:color="000000" w:fill="F2F2F2"/>
            <w:noWrap/>
            <w:vAlign w:val="center"/>
          </w:tcPr>
          <w:p w14:paraId="7576FFB2" w14:textId="77777777" w:rsidR="00055BFC" w:rsidRPr="00487076" w:rsidRDefault="00055BFC" w:rsidP="00B92127">
            <w:pPr>
              <w:spacing w:line="240" w:lineRule="auto"/>
              <w:rPr>
                <w:rFonts w:eastAsia="Times New Roman"/>
                <w:i/>
                <w:iCs/>
                <w:color w:val="000000"/>
                <w:sz w:val="18"/>
                <w:szCs w:val="18"/>
              </w:rPr>
            </w:pPr>
            <w:proofErr w:type="spellStart"/>
            <w:r>
              <w:rPr>
                <w:i/>
                <w:color w:val="000000"/>
                <w:sz w:val="18"/>
              </w:rPr>
              <w:t>Подытог</w:t>
            </w:r>
            <w:proofErr w:type="spellEnd"/>
            <w:r>
              <w:rPr>
                <w:i/>
                <w:color w:val="000000"/>
                <w:sz w:val="18"/>
              </w:rPr>
              <w:t> — аудиты субрегиональных отделений</w:t>
            </w:r>
          </w:p>
        </w:tc>
        <w:tc>
          <w:tcPr>
            <w:tcW w:w="850" w:type="dxa"/>
            <w:shd w:val="clear" w:color="FFFFFF" w:fill="F2F2F2"/>
            <w:noWrap/>
            <w:vAlign w:val="center"/>
          </w:tcPr>
          <w:p w14:paraId="713C3EEE" w14:textId="77777777" w:rsidR="00055BFC" w:rsidRPr="00487076" w:rsidRDefault="00055BFC" w:rsidP="00B92127">
            <w:pPr>
              <w:spacing w:line="240" w:lineRule="auto"/>
              <w:jc w:val="center"/>
              <w:rPr>
                <w:rFonts w:eastAsia="Times New Roman"/>
                <w:i/>
                <w:iCs/>
                <w:color w:val="000000"/>
                <w:sz w:val="18"/>
                <w:szCs w:val="18"/>
              </w:rPr>
            </w:pPr>
            <w:r>
              <w:rPr>
                <w:i/>
                <w:color w:val="000000"/>
                <w:sz w:val="18"/>
              </w:rPr>
              <w:t>1</w:t>
            </w:r>
          </w:p>
        </w:tc>
        <w:tc>
          <w:tcPr>
            <w:tcW w:w="1134" w:type="dxa"/>
            <w:shd w:val="clear" w:color="FFFFFF" w:fill="F2F2F2"/>
            <w:noWrap/>
            <w:vAlign w:val="center"/>
          </w:tcPr>
          <w:p w14:paraId="2F4726A0" w14:textId="77777777" w:rsidR="00055BFC" w:rsidRPr="00487076" w:rsidRDefault="00055BFC" w:rsidP="00B92127">
            <w:pPr>
              <w:spacing w:line="240" w:lineRule="auto"/>
              <w:jc w:val="center"/>
              <w:rPr>
                <w:rFonts w:eastAsia="Times New Roman"/>
                <w:i/>
                <w:iCs/>
                <w:color w:val="000000"/>
                <w:sz w:val="18"/>
                <w:szCs w:val="18"/>
              </w:rPr>
            </w:pPr>
            <w:r>
              <w:rPr>
                <w:i/>
                <w:color w:val="000000"/>
                <w:sz w:val="18"/>
              </w:rPr>
              <w:t>—</w:t>
            </w:r>
          </w:p>
        </w:tc>
        <w:tc>
          <w:tcPr>
            <w:tcW w:w="1843" w:type="dxa"/>
            <w:shd w:val="clear" w:color="FFFFFF" w:fill="F2F2F2"/>
            <w:noWrap/>
            <w:vAlign w:val="center"/>
          </w:tcPr>
          <w:p w14:paraId="57A18CD5" w14:textId="77777777" w:rsidR="00055BFC" w:rsidRPr="00487076" w:rsidRDefault="00055BFC" w:rsidP="00B92127">
            <w:pPr>
              <w:spacing w:line="240" w:lineRule="auto"/>
              <w:jc w:val="center"/>
              <w:rPr>
                <w:rFonts w:eastAsia="Times New Roman"/>
                <w:i/>
                <w:iCs/>
                <w:color w:val="000000"/>
                <w:sz w:val="18"/>
                <w:szCs w:val="18"/>
              </w:rPr>
            </w:pPr>
            <w:r>
              <w:rPr>
                <w:i/>
                <w:color w:val="000000"/>
                <w:sz w:val="18"/>
              </w:rPr>
              <w:t>1</w:t>
            </w:r>
          </w:p>
        </w:tc>
        <w:tc>
          <w:tcPr>
            <w:tcW w:w="1417" w:type="dxa"/>
            <w:shd w:val="clear" w:color="FFFFFF" w:fill="F2F2F2"/>
            <w:noWrap/>
            <w:vAlign w:val="center"/>
          </w:tcPr>
          <w:p w14:paraId="6BA4B6DF" w14:textId="77777777" w:rsidR="00055BFC" w:rsidRPr="00487076" w:rsidRDefault="00055BFC" w:rsidP="00B92127">
            <w:pPr>
              <w:spacing w:line="240" w:lineRule="auto"/>
              <w:jc w:val="center"/>
              <w:rPr>
                <w:rFonts w:eastAsia="Times New Roman"/>
                <w:i/>
                <w:iCs/>
                <w:color w:val="000000"/>
                <w:sz w:val="18"/>
                <w:szCs w:val="18"/>
              </w:rPr>
            </w:pPr>
            <w:r>
              <w:rPr>
                <w:i/>
                <w:color w:val="000000"/>
                <w:sz w:val="18"/>
              </w:rPr>
              <w:t>—</w:t>
            </w:r>
          </w:p>
        </w:tc>
        <w:tc>
          <w:tcPr>
            <w:tcW w:w="1276" w:type="dxa"/>
            <w:shd w:val="clear" w:color="FFFFFF" w:fill="F2F2F2"/>
            <w:noWrap/>
            <w:vAlign w:val="center"/>
          </w:tcPr>
          <w:p w14:paraId="29086DA4" w14:textId="77777777" w:rsidR="00055BFC" w:rsidRPr="00487076" w:rsidRDefault="00055BFC" w:rsidP="00B92127">
            <w:pPr>
              <w:spacing w:line="240" w:lineRule="auto"/>
              <w:jc w:val="center"/>
              <w:rPr>
                <w:rFonts w:eastAsia="Times New Roman"/>
                <w:i/>
                <w:iCs/>
                <w:color w:val="000000"/>
                <w:sz w:val="18"/>
                <w:szCs w:val="18"/>
              </w:rPr>
            </w:pPr>
            <w:r>
              <w:rPr>
                <w:i/>
                <w:color w:val="000000"/>
                <w:sz w:val="18"/>
              </w:rPr>
              <w:t>—</w:t>
            </w:r>
          </w:p>
        </w:tc>
      </w:tr>
      <w:tr w:rsidR="00055BFC" w:rsidRPr="00487076" w14:paraId="2B7300F3" w14:textId="77777777" w:rsidTr="00B92127">
        <w:trPr>
          <w:trHeight w:val="263"/>
        </w:trPr>
        <w:tc>
          <w:tcPr>
            <w:tcW w:w="9781" w:type="dxa"/>
            <w:gridSpan w:val="6"/>
            <w:shd w:val="clear" w:color="auto" w:fill="auto"/>
            <w:noWrap/>
            <w:vAlign w:val="center"/>
          </w:tcPr>
          <w:p w14:paraId="48A98C2A" w14:textId="77777777" w:rsidR="00055BFC" w:rsidRPr="00487076" w:rsidRDefault="00055BFC" w:rsidP="00B92127">
            <w:pPr>
              <w:keepNext/>
              <w:keepLines/>
              <w:spacing w:line="240" w:lineRule="auto"/>
              <w:rPr>
                <w:rFonts w:eastAsia="Times New Roman"/>
                <w:color w:val="000000"/>
                <w:sz w:val="18"/>
                <w:szCs w:val="18"/>
              </w:rPr>
            </w:pPr>
            <w:r>
              <w:rPr>
                <w:b/>
                <w:color w:val="000000"/>
                <w:sz w:val="18"/>
              </w:rPr>
              <w:t>Аудиты процессов:</w:t>
            </w:r>
          </w:p>
        </w:tc>
      </w:tr>
      <w:tr w:rsidR="00055BFC" w:rsidRPr="00487076" w14:paraId="65B778FB" w14:textId="77777777" w:rsidTr="00B92127">
        <w:trPr>
          <w:trHeight w:val="525"/>
        </w:trPr>
        <w:tc>
          <w:tcPr>
            <w:tcW w:w="3261" w:type="dxa"/>
            <w:shd w:val="clear" w:color="auto" w:fill="auto"/>
            <w:vAlign w:val="bottom"/>
          </w:tcPr>
          <w:p w14:paraId="75F82E02" w14:textId="77777777" w:rsidR="00055BFC" w:rsidRPr="00487076" w:rsidRDefault="00055BFC" w:rsidP="00B92127">
            <w:pPr>
              <w:keepNext/>
              <w:keepLines/>
              <w:spacing w:line="240" w:lineRule="auto"/>
              <w:rPr>
                <w:rFonts w:eastAsia="Times New Roman"/>
                <w:color w:val="000000"/>
                <w:sz w:val="18"/>
                <w:szCs w:val="18"/>
              </w:rPr>
            </w:pPr>
            <w:r>
              <w:rPr>
                <w:color w:val="000000"/>
                <w:sz w:val="18"/>
              </w:rPr>
              <w:t>Аудит процесса набора персонала в штаб-квартире ЮНФПА</w:t>
            </w:r>
          </w:p>
        </w:tc>
        <w:tc>
          <w:tcPr>
            <w:tcW w:w="850" w:type="dxa"/>
            <w:shd w:val="clear" w:color="FFFFFF" w:fill="auto"/>
            <w:noWrap/>
            <w:vAlign w:val="bottom"/>
          </w:tcPr>
          <w:p w14:paraId="4D0A0AB9" w14:textId="77777777" w:rsidR="00055BFC" w:rsidRPr="00487076" w:rsidRDefault="00055BFC" w:rsidP="00B92127">
            <w:pPr>
              <w:keepNext/>
              <w:keepLines/>
              <w:spacing w:line="240" w:lineRule="auto"/>
              <w:jc w:val="center"/>
              <w:rPr>
                <w:rFonts w:eastAsia="Times New Roman"/>
                <w:color w:val="000000"/>
                <w:sz w:val="18"/>
                <w:szCs w:val="18"/>
              </w:rPr>
            </w:pPr>
            <w:r>
              <w:rPr>
                <w:color w:val="000000"/>
                <w:sz w:val="18"/>
              </w:rPr>
              <w:t>1</w:t>
            </w:r>
          </w:p>
        </w:tc>
        <w:tc>
          <w:tcPr>
            <w:tcW w:w="1134" w:type="dxa"/>
            <w:shd w:val="clear" w:color="FFFFFF" w:fill="auto"/>
            <w:noWrap/>
            <w:vAlign w:val="center"/>
          </w:tcPr>
          <w:p w14:paraId="154A28C3" w14:textId="77777777" w:rsidR="00055BFC" w:rsidRPr="00487076" w:rsidRDefault="00055BFC" w:rsidP="00B92127">
            <w:pPr>
              <w:keepNext/>
              <w:keepLines/>
              <w:spacing w:line="240" w:lineRule="auto"/>
              <w:jc w:val="center"/>
              <w:rPr>
                <w:rFonts w:eastAsia="Times New Roman"/>
                <w:color w:val="000000"/>
                <w:sz w:val="18"/>
                <w:szCs w:val="18"/>
              </w:rPr>
            </w:pPr>
          </w:p>
        </w:tc>
        <w:tc>
          <w:tcPr>
            <w:tcW w:w="1843" w:type="dxa"/>
            <w:shd w:val="clear" w:color="FFFFFF" w:fill="auto"/>
            <w:noWrap/>
            <w:vAlign w:val="bottom"/>
          </w:tcPr>
          <w:p w14:paraId="590A743D" w14:textId="77777777" w:rsidR="00055BFC" w:rsidRPr="00487076" w:rsidRDefault="00055BFC" w:rsidP="00B92127">
            <w:pPr>
              <w:keepNext/>
              <w:keepLines/>
              <w:spacing w:line="240" w:lineRule="auto"/>
              <w:jc w:val="center"/>
              <w:rPr>
                <w:rFonts w:eastAsia="Times New Roman"/>
                <w:color w:val="000000"/>
                <w:sz w:val="18"/>
                <w:szCs w:val="18"/>
              </w:rPr>
            </w:pPr>
            <w:r>
              <w:rPr>
                <w:color w:val="000000"/>
                <w:sz w:val="18"/>
              </w:rPr>
              <w:t>1</w:t>
            </w:r>
          </w:p>
        </w:tc>
        <w:tc>
          <w:tcPr>
            <w:tcW w:w="1417" w:type="dxa"/>
            <w:shd w:val="clear" w:color="FFFFFF" w:fill="auto"/>
            <w:noWrap/>
            <w:vAlign w:val="bottom"/>
          </w:tcPr>
          <w:p w14:paraId="011A393B" w14:textId="77777777" w:rsidR="00055BFC" w:rsidRPr="00487076" w:rsidRDefault="00055BFC" w:rsidP="00B92127">
            <w:pPr>
              <w:keepNext/>
              <w:keepLines/>
              <w:spacing w:line="240" w:lineRule="auto"/>
              <w:jc w:val="center"/>
              <w:rPr>
                <w:rFonts w:eastAsia="Times New Roman"/>
                <w:color w:val="000000"/>
                <w:sz w:val="18"/>
                <w:szCs w:val="18"/>
              </w:rPr>
            </w:pPr>
          </w:p>
        </w:tc>
        <w:tc>
          <w:tcPr>
            <w:tcW w:w="1276" w:type="dxa"/>
            <w:shd w:val="clear" w:color="FFFFFF" w:fill="auto"/>
            <w:noWrap/>
            <w:vAlign w:val="bottom"/>
          </w:tcPr>
          <w:p w14:paraId="66124394" w14:textId="77777777" w:rsidR="00055BFC" w:rsidRPr="00487076" w:rsidRDefault="00055BFC" w:rsidP="00B92127">
            <w:pPr>
              <w:keepNext/>
              <w:keepLines/>
              <w:spacing w:line="240" w:lineRule="auto"/>
              <w:jc w:val="center"/>
              <w:rPr>
                <w:rFonts w:eastAsia="Times New Roman"/>
                <w:color w:val="000000"/>
                <w:sz w:val="18"/>
                <w:szCs w:val="18"/>
              </w:rPr>
            </w:pPr>
          </w:p>
        </w:tc>
      </w:tr>
      <w:tr w:rsidR="00055BFC" w:rsidRPr="00487076" w14:paraId="2DA161B0" w14:textId="77777777" w:rsidTr="00B92127">
        <w:trPr>
          <w:trHeight w:val="525"/>
        </w:trPr>
        <w:tc>
          <w:tcPr>
            <w:tcW w:w="3261" w:type="dxa"/>
            <w:shd w:val="clear" w:color="auto" w:fill="auto"/>
            <w:vAlign w:val="bottom"/>
          </w:tcPr>
          <w:p w14:paraId="4AA90FEC" w14:textId="77777777" w:rsidR="00055BFC" w:rsidRPr="00487076" w:rsidRDefault="00055BFC" w:rsidP="00B92127">
            <w:pPr>
              <w:keepNext/>
              <w:keepLines/>
              <w:spacing w:line="240" w:lineRule="auto"/>
              <w:rPr>
                <w:rFonts w:eastAsia="Times New Roman"/>
                <w:color w:val="000000"/>
                <w:sz w:val="18"/>
                <w:szCs w:val="18"/>
              </w:rPr>
            </w:pPr>
            <w:r>
              <w:rPr>
                <w:color w:val="000000"/>
                <w:sz w:val="18"/>
              </w:rPr>
              <w:t>Аудит системы управления непрерывностью деятельности ЮНФПА</w:t>
            </w:r>
          </w:p>
        </w:tc>
        <w:tc>
          <w:tcPr>
            <w:tcW w:w="850" w:type="dxa"/>
            <w:shd w:val="clear" w:color="FFFFFF" w:fill="auto"/>
            <w:noWrap/>
            <w:vAlign w:val="bottom"/>
          </w:tcPr>
          <w:p w14:paraId="52D4A94C" w14:textId="77777777" w:rsidR="00055BFC" w:rsidRPr="00487076" w:rsidRDefault="00055BFC" w:rsidP="00B92127">
            <w:pPr>
              <w:keepNext/>
              <w:keepLines/>
              <w:spacing w:line="240" w:lineRule="auto"/>
              <w:jc w:val="center"/>
              <w:rPr>
                <w:rFonts w:eastAsia="Times New Roman"/>
                <w:color w:val="000000"/>
                <w:sz w:val="18"/>
                <w:szCs w:val="18"/>
              </w:rPr>
            </w:pPr>
            <w:r>
              <w:rPr>
                <w:color w:val="000000"/>
                <w:sz w:val="18"/>
              </w:rPr>
              <w:t>1</w:t>
            </w:r>
          </w:p>
        </w:tc>
        <w:tc>
          <w:tcPr>
            <w:tcW w:w="1134" w:type="dxa"/>
            <w:shd w:val="clear" w:color="FFFFFF" w:fill="auto"/>
            <w:noWrap/>
            <w:vAlign w:val="center"/>
          </w:tcPr>
          <w:p w14:paraId="436FBD46" w14:textId="77777777" w:rsidR="00055BFC" w:rsidRPr="00487076" w:rsidRDefault="00055BFC" w:rsidP="00B92127">
            <w:pPr>
              <w:keepNext/>
              <w:keepLines/>
              <w:spacing w:line="240" w:lineRule="auto"/>
              <w:jc w:val="center"/>
              <w:rPr>
                <w:rFonts w:eastAsia="Times New Roman"/>
                <w:color w:val="000000"/>
                <w:sz w:val="18"/>
                <w:szCs w:val="18"/>
              </w:rPr>
            </w:pPr>
          </w:p>
        </w:tc>
        <w:tc>
          <w:tcPr>
            <w:tcW w:w="1843" w:type="dxa"/>
            <w:shd w:val="clear" w:color="FFFFFF" w:fill="auto"/>
            <w:noWrap/>
            <w:vAlign w:val="bottom"/>
          </w:tcPr>
          <w:p w14:paraId="30BCF927" w14:textId="77777777" w:rsidR="00055BFC" w:rsidRPr="00487076" w:rsidRDefault="00055BFC" w:rsidP="00B92127">
            <w:pPr>
              <w:keepNext/>
              <w:keepLines/>
              <w:spacing w:line="240" w:lineRule="auto"/>
              <w:jc w:val="center"/>
              <w:rPr>
                <w:rFonts w:eastAsia="Times New Roman"/>
                <w:color w:val="000000"/>
                <w:sz w:val="18"/>
                <w:szCs w:val="18"/>
              </w:rPr>
            </w:pPr>
            <w:r>
              <w:rPr>
                <w:color w:val="000000"/>
                <w:sz w:val="18"/>
              </w:rPr>
              <w:t>1</w:t>
            </w:r>
          </w:p>
        </w:tc>
        <w:tc>
          <w:tcPr>
            <w:tcW w:w="1417" w:type="dxa"/>
            <w:shd w:val="clear" w:color="FFFFFF" w:fill="auto"/>
            <w:noWrap/>
            <w:vAlign w:val="bottom"/>
          </w:tcPr>
          <w:p w14:paraId="5CAF1506" w14:textId="77777777" w:rsidR="00055BFC" w:rsidRPr="00487076" w:rsidRDefault="00055BFC" w:rsidP="00B92127">
            <w:pPr>
              <w:keepNext/>
              <w:keepLines/>
              <w:spacing w:line="240" w:lineRule="auto"/>
              <w:jc w:val="center"/>
              <w:rPr>
                <w:rFonts w:eastAsia="Times New Roman"/>
                <w:color w:val="000000"/>
                <w:sz w:val="18"/>
                <w:szCs w:val="18"/>
              </w:rPr>
            </w:pPr>
          </w:p>
        </w:tc>
        <w:tc>
          <w:tcPr>
            <w:tcW w:w="1276" w:type="dxa"/>
            <w:shd w:val="clear" w:color="FFFFFF" w:fill="auto"/>
            <w:noWrap/>
            <w:vAlign w:val="bottom"/>
          </w:tcPr>
          <w:p w14:paraId="43C66870" w14:textId="77777777" w:rsidR="00055BFC" w:rsidRPr="00487076" w:rsidRDefault="00055BFC" w:rsidP="00B92127">
            <w:pPr>
              <w:keepNext/>
              <w:keepLines/>
              <w:spacing w:line="240" w:lineRule="auto"/>
              <w:jc w:val="center"/>
              <w:rPr>
                <w:rFonts w:eastAsia="Times New Roman"/>
                <w:color w:val="000000"/>
                <w:sz w:val="18"/>
                <w:szCs w:val="18"/>
              </w:rPr>
            </w:pPr>
          </w:p>
        </w:tc>
      </w:tr>
      <w:tr w:rsidR="00055BFC" w:rsidRPr="00487076" w14:paraId="1F9A53FC" w14:textId="77777777" w:rsidTr="00B92127">
        <w:trPr>
          <w:trHeight w:val="525"/>
        </w:trPr>
        <w:tc>
          <w:tcPr>
            <w:tcW w:w="3261" w:type="dxa"/>
            <w:shd w:val="clear" w:color="auto" w:fill="auto"/>
            <w:vAlign w:val="bottom"/>
          </w:tcPr>
          <w:p w14:paraId="232D5DFA" w14:textId="77777777" w:rsidR="00055BFC" w:rsidRPr="00487076" w:rsidRDefault="00055BFC" w:rsidP="00B92127">
            <w:pPr>
              <w:keepNext/>
              <w:keepLines/>
              <w:spacing w:line="240" w:lineRule="auto"/>
              <w:rPr>
                <w:rFonts w:eastAsia="Times New Roman"/>
                <w:color w:val="000000"/>
                <w:sz w:val="18"/>
                <w:szCs w:val="18"/>
              </w:rPr>
            </w:pPr>
            <w:r>
              <w:rPr>
                <w:color w:val="000000"/>
                <w:sz w:val="18"/>
              </w:rPr>
              <w:t>Аудит системы планирования ресурсов предприятия ЮНФПА (Quantum)</w:t>
            </w:r>
          </w:p>
        </w:tc>
        <w:tc>
          <w:tcPr>
            <w:tcW w:w="850" w:type="dxa"/>
            <w:shd w:val="clear" w:color="FFFFFF" w:fill="auto"/>
            <w:noWrap/>
            <w:vAlign w:val="bottom"/>
          </w:tcPr>
          <w:p w14:paraId="1E7B0CC6" w14:textId="77777777" w:rsidR="00055BFC" w:rsidRPr="00487076" w:rsidRDefault="00055BFC" w:rsidP="00B92127">
            <w:pPr>
              <w:keepNext/>
              <w:keepLines/>
              <w:spacing w:line="240" w:lineRule="auto"/>
              <w:jc w:val="center"/>
              <w:rPr>
                <w:rFonts w:eastAsia="Times New Roman"/>
                <w:color w:val="000000"/>
                <w:sz w:val="18"/>
                <w:szCs w:val="18"/>
              </w:rPr>
            </w:pPr>
            <w:r>
              <w:rPr>
                <w:color w:val="000000"/>
                <w:sz w:val="18"/>
              </w:rPr>
              <w:t>1</w:t>
            </w:r>
          </w:p>
        </w:tc>
        <w:tc>
          <w:tcPr>
            <w:tcW w:w="1134" w:type="dxa"/>
            <w:shd w:val="clear" w:color="FFFFFF" w:fill="auto"/>
            <w:noWrap/>
            <w:vAlign w:val="center"/>
          </w:tcPr>
          <w:p w14:paraId="71A5D04F" w14:textId="77777777" w:rsidR="00055BFC" w:rsidRPr="00487076" w:rsidRDefault="00055BFC" w:rsidP="00B92127">
            <w:pPr>
              <w:keepNext/>
              <w:keepLines/>
              <w:spacing w:line="240" w:lineRule="auto"/>
              <w:jc w:val="center"/>
              <w:rPr>
                <w:rFonts w:eastAsia="Times New Roman"/>
                <w:color w:val="000000"/>
                <w:sz w:val="18"/>
                <w:szCs w:val="18"/>
              </w:rPr>
            </w:pPr>
          </w:p>
        </w:tc>
        <w:tc>
          <w:tcPr>
            <w:tcW w:w="1843" w:type="dxa"/>
            <w:shd w:val="clear" w:color="FFFFFF" w:fill="auto"/>
            <w:noWrap/>
            <w:vAlign w:val="bottom"/>
          </w:tcPr>
          <w:p w14:paraId="01355260" w14:textId="77777777" w:rsidR="00055BFC" w:rsidRPr="00487076" w:rsidRDefault="00055BFC" w:rsidP="00B92127">
            <w:pPr>
              <w:keepNext/>
              <w:keepLines/>
              <w:spacing w:line="240" w:lineRule="auto"/>
              <w:jc w:val="center"/>
              <w:rPr>
                <w:rFonts w:eastAsia="Times New Roman"/>
                <w:color w:val="000000"/>
                <w:sz w:val="18"/>
                <w:szCs w:val="18"/>
              </w:rPr>
            </w:pPr>
            <w:r>
              <w:rPr>
                <w:color w:val="000000"/>
                <w:sz w:val="18"/>
              </w:rPr>
              <w:t>1</w:t>
            </w:r>
          </w:p>
        </w:tc>
        <w:tc>
          <w:tcPr>
            <w:tcW w:w="1417" w:type="dxa"/>
            <w:shd w:val="clear" w:color="FFFFFF" w:fill="auto"/>
            <w:noWrap/>
            <w:vAlign w:val="bottom"/>
          </w:tcPr>
          <w:p w14:paraId="75A5E119" w14:textId="77777777" w:rsidR="00055BFC" w:rsidRPr="00487076" w:rsidRDefault="00055BFC" w:rsidP="00B92127">
            <w:pPr>
              <w:keepNext/>
              <w:keepLines/>
              <w:spacing w:line="240" w:lineRule="auto"/>
              <w:jc w:val="center"/>
              <w:rPr>
                <w:rFonts w:eastAsia="Times New Roman"/>
                <w:color w:val="000000"/>
                <w:sz w:val="18"/>
                <w:szCs w:val="18"/>
              </w:rPr>
            </w:pPr>
          </w:p>
        </w:tc>
        <w:tc>
          <w:tcPr>
            <w:tcW w:w="1276" w:type="dxa"/>
            <w:shd w:val="clear" w:color="FFFFFF" w:fill="auto"/>
            <w:noWrap/>
            <w:vAlign w:val="bottom"/>
          </w:tcPr>
          <w:p w14:paraId="77B96D12" w14:textId="77777777" w:rsidR="00055BFC" w:rsidRPr="00487076" w:rsidRDefault="00055BFC" w:rsidP="00B92127">
            <w:pPr>
              <w:keepNext/>
              <w:keepLines/>
              <w:spacing w:line="240" w:lineRule="auto"/>
              <w:jc w:val="center"/>
              <w:rPr>
                <w:rFonts w:eastAsia="Times New Roman"/>
                <w:color w:val="000000"/>
                <w:sz w:val="18"/>
                <w:szCs w:val="18"/>
              </w:rPr>
            </w:pPr>
          </w:p>
        </w:tc>
      </w:tr>
      <w:tr w:rsidR="00055BFC" w:rsidRPr="00487076" w14:paraId="17C913B1" w14:textId="77777777" w:rsidTr="00B92127">
        <w:trPr>
          <w:trHeight w:val="270"/>
        </w:trPr>
        <w:tc>
          <w:tcPr>
            <w:tcW w:w="3261" w:type="dxa"/>
            <w:shd w:val="clear" w:color="auto" w:fill="auto"/>
            <w:noWrap/>
            <w:vAlign w:val="bottom"/>
          </w:tcPr>
          <w:p w14:paraId="7E94BB8A" w14:textId="77777777" w:rsidR="00055BFC" w:rsidRPr="00487076" w:rsidRDefault="00055BFC" w:rsidP="00B92127">
            <w:pPr>
              <w:keepNext/>
              <w:keepLines/>
              <w:spacing w:line="240" w:lineRule="auto"/>
              <w:rPr>
                <w:rFonts w:eastAsia="Times New Roman"/>
                <w:i/>
                <w:iCs/>
                <w:color w:val="000000"/>
                <w:sz w:val="18"/>
                <w:szCs w:val="18"/>
              </w:rPr>
            </w:pPr>
            <w:r>
              <w:rPr>
                <w:color w:val="000000"/>
                <w:sz w:val="18"/>
              </w:rPr>
              <w:t>Аудит практики и процессов управления информационной безопасностью ЮНФПА</w:t>
            </w:r>
          </w:p>
        </w:tc>
        <w:tc>
          <w:tcPr>
            <w:tcW w:w="850" w:type="dxa"/>
            <w:shd w:val="clear" w:color="FFFFFF" w:fill="auto"/>
            <w:noWrap/>
            <w:vAlign w:val="bottom"/>
          </w:tcPr>
          <w:p w14:paraId="2AEBAAE6" w14:textId="77777777" w:rsidR="00055BFC" w:rsidRPr="00487076" w:rsidRDefault="00055BFC" w:rsidP="00B92127">
            <w:pPr>
              <w:keepNext/>
              <w:keepLines/>
              <w:spacing w:line="240" w:lineRule="auto"/>
              <w:jc w:val="center"/>
              <w:rPr>
                <w:rFonts w:eastAsia="Times New Roman"/>
                <w:i/>
                <w:iCs/>
                <w:color w:val="000000"/>
                <w:sz w:val="18"/>
                <w:szCs w:val="18"/>
              </w:rPr>
            </w:pPr>
            <w:r>
              <w:rPr>
                <w:color w:val="000000"/>
                <w:sz w:val="18"/>
              </w:rPr>
              <w:t>1</w:t>
            </w:r>
          </w:p>
        </w:tc>
        <w:tc>
          <w:tcPr>
            <w:tcW w:w="1134" w:type="dxa"/>
            <w:shd w:val="clear" w:color="FFFFFF" w:fill="auto"/>
            <w:noWrap/>
            <w:vAlign w:val="center"/>
          </w:tcPr>
          <w:p w14:paraId="2E080682" w14:textId="77777777" w:rsidR="00055BFC" w:rsidRPr="00487076" w:rsidRDefault="00055BFC" w:rsidP="00B92127">
            <w:pPr>
              <w:keepNext/>
              <w:keepLines/>
              <w:spacing w:line="240" w:lineRule="auto"/>
              <w:jc w:val="center"/>
              <w:rPr>
                <w:rFonts w:eastAsia="Times New Roman"/>
                <w:color w:val="000000"/>
                <w:sz w:val="18"/>
                <w:szCs w:val="18"/>
              </w:rPr>
            </w:pPr>
          </w:p>
        </w:tc>
        <w:tc>
          <w:tcPr>
            <w:tcW w:w="1843" w:type="dxa"/>
            <w:shd w:val="clear" w:color="FFFFFF" w:fill="auto"/>
            <w:noWrap/>
            <w:vAlign w:val="bottom"/>
          </w:tcPr>
          <w:p w14:paraId="04EE719C" w14:textId="77777777" w:rsidR="00055BFC" w:rsidRPr="00487076" w:rsidRDefault="00055BFC" w:rsidP="00B92127">
            <w:pPr>
              <w:keepNext/>
              <w:keepLines/>
              <w:spacing w:line="240" w:lineRule="auto"/>
              <w:jc w:val="center"/>
              <w:rPr>
                <w:rFonts w:eastAsia="Times New Roman"/>
                <w:color w:val="000000"/>
                <w:sz w:val="18"/>
                <w:szCs w:val="18"/>
              </w:rPr>
            </w:pPr>
            <w:r>
              <w:rPr>
                <w:color w:val="000000"/>
                <w:sz w:val="18"/>
              </w:rPr>
              <w:t>1</w:t>
            </w:r>
          </w:p>
        </w:tc>
        <w:tc>
          <w:tcPr>
            <w:tcW w:w="1417" w:type="dxa"/>
            <w:shd w:val="clear" w:color="FFFFFF" w:fill="auto"/>
            <w:noWrap/>
            <w:vAlign w:val="bottom"/>
          </w:tcPr>
          <w:p w14:paraId="4A8932FB" w14:textId="77777777" w:rsidR="00055BFC" w:rsidRPr="00487076" w:rsidRDefault="00055BFC" w:rsidP="00B92127">
            <w:pPr>
              <w:keepNext/>
              <w:keepLines/>
              <w:spacing w:line="240" w:lineRule="auto"/>
              <w:jc w:val="center"/>
              <w:rPr>
                <w:rFonts w:eastAsia="Times New Roman"/>
                <w:color w:val="000000"/>
                <w:sz w:val="18"/>
                <w:szCs w:val="18"/>
              </w:rPr>
            </w:pPr>
          </w:p>
        </w:tc>
        <w:tc>
          <w:tcPr>
            <w:tcW w:w="1276" w:type="dxa"/>
            <w:shd w:val="clear" w:color="FFFFFF" w:fill="auto"/>
            <w:noWrap/>
            <w:vAlign w:val="bottom"/>
          </w:tcPr>
          <w:p w14:paraId="0C75A1B3" w14:textId="77777777" w:rsidR="00055BFC" w:rsidRPr="00487076" w:rsidRDefault="00055BFC" w:rsidP="00B92127">
            <w:pPr>
              <w:keepNext/>
              <w:keepLines/>
              <w:spacing w:line="240" w:lineRule="auto"/>
              <w:jc w:val="center"/>
              <w:rPr>
                <w:rFonts w:eastAsia="Times New Roman"/>
                <w:color w:val="000000"/>
                <w:sz w:val="18"/>
                <w:szCs w:val="18"/>
              </w:rPr>
            </w:pPr>
          </w:p>
        </w:tc>
      </w:tr>
      <w:tr w:rsidR="00055BFC" w:rsidRPr="00487076" w14:paraId="143C2D62" w14:textId="77777777" w:rsidTr="00B92127">
        <w:trPr>
          <w:trHeight w:val="270"/>
        </w:trPr>
        <w:tc>
          <w:tcPr>
            <w:tcW w:w="3261" w:type="dxa"/>
            <w:shd w:val="clear" w:color="auto" w:fill="auto"/>
            <w:noWrap/>
            <w:vAlign w:val="bottom"/>
          </w:tcPr>
          <w:p w14:paraId="1805219A" w14:textId="77777777" w:rsidR="00055BFC" w:rsidRPr="00487076" w:rsidRDefault="00055BFC" w:rsidP="00B92127">
            <w:pPr>
              <w:keepNext/>
              <w:keepLines/>
              <w:spacing w:line="240" w:lineRule="auto"/>
              <w:rPr>
                <w:rFonts w:eastAsia="Times New Roman"/>
                <w:color w:val="000000"/>
                <w:sz w:val="18"/>
                <w:szCs w:val="18"/>
              </w:rPr>
            </w:pPr>
            <w:r>
              <w:rPr>
                <w:color w:val="000000"/>
                <w:sz w:val="18"/>
              </w:rPr>
              <w:t xml:space="preserve">Аудит практики и процессов управления идентификационными данными и доступом ЮНФПА </w:t>
            </w:r>
          </w:p>
        </w:tc>
        <w:tc>
          <w:tcPr>
            <w:tcW w:w="850" w:type="dxa"/>
            <w:shd w:val="clear" w:color="FFFFFF" w:fill="auto"/>
            <w:noWrap/>
            <w:vAlign w:val="bottom"/>
          </w:tcPr>
          <w:p w14:paraId="17E6E28C" w14:textId="77777777" w:rsidR="00055BFC" w:rsidRPr="00487076" w:rsidRDefault="00055BFC" w:rsidP="00B92127">
            <w:pPr>
              <w:keepNext/>
              <w:keepLines/>
              <w:spacing w:line="240" w:lineRule="auto"/>
              <w:jc w:val="center"/>
              <w:rPr>
                <w:rFonts w:eastAsia="Times New Roman"/>
                <w:i/>
                <w:iCs/>
                <w:color w:val="000000"/>
                <w:sz w:val="18"/>
                <w:szCs w:val="18"/>
              </w:rPr>
            </w:pPr>
            <w:r>
              <w:rPr>
                <w:color w:val="000000"/>
                <w:sz w:val="18"/>
              </w:rPr>
              <w:t>1</w:t>
            </w:r>
          </w:p>
        </w:tc>
        <w:tc>
          <w:tcPr>
            <w:tcW w:w="1134" w:type="dxa"/>
            <w:shd w:val="clear" w:color="FFFFFF" w:fill="auto"/>
            <w:noWrap/>
            <w:vAlign w:val="center"/>
          </w:tcPr>
          <w:p w14:paraId="0F8DC0EC" w14:textId="77777777" w:rsidR="00055BFC" w:rsidRPr="00487076" w:rsidRDefault="00055BFC" w:rsidP="00B92127">
            <w:pPr>
              <w:keepNext/>
              <w:keepLines/>
              <w:spacing w:line="240" w:lineRule="auto"/>
              <w:jc w:val="center"/>
              <w:rPr>
                <w:rFonts w:eastAsia="Times New Roman"/>
                <w:color w:val="000000"/>
                <w:sz w:val="18"/>
                <w:szCs w:val="18"/>
              </w:rPr>
            </w:pPr>
          </w:p>
        </w:tc>
        <w:tc>
          <w:tcPr>
            <w:tcW w:w="1843" w:type="dxa"/>
            <w:shd w:val="clear" w:color="FFFFFF" w:fill="auto"/>
            <w:noWrap/>
            <w:vAlign w:val="bottom"/>
          </w:tcPr>
          <w:p w14:paraId="4C2EC9B8" w14:textId="77777777" w:rsidR="00055BFC" w:rsidRPr="00487076" w:rsidRDefault="00055BFC" w:rsidP="00B92127">
            <w:pPr>
              <w:keepNext/>
              <w:keepLines/>
              <w:spacing w:line="240" w:lineRule="auto"/>
              <w:jc w:val="center"/>
              <w:rPr>
                <w:rFonts w:eastAsia="Times New Roman"/>
                <w:color w:val="000000"/>
                <w:sz w:val="18"/>
                <w:szCs w:val="18"/>
              </w:rPr>
            </w:pPr>
            <w:r>
              <w:rPr>
                <w:color w:val="000000"/>
                <w:sz w:val="18"/>
              </w:rPr>
              <w:t>1</w:t>
            </w:r>
          </w:p>
        </w:tc>
        <w:tc>
          <w:tcPr>
            <w:tcW w:w="1417" w:type="dxa"/>
            <w:shd w:val="clear" w:color="FFFFFF" w:fill="auto"/>
            <w:noWrap/>
            <w:vAlign w:val="bottom"/>
          </w:tcPr>
          <w:p w14:paraId="39FD6339" w14:textId="77777777" w:rsidR="00055BFC" w:rsidRPr="00487076" w:rsidRDefault="00055BFC" w:rsidP="00B92127">
            <w:pPr>
              <w:keepNext/>
              <w:keepLines/>
              <w:spacing w:line="240" w:lineRule="auto"/>
              <w:jc w:val="center"/>
              <w:rPr>
                <w:rFonts w:eastAsia="Times New Roman"/>
                <w:color w:val="000000"/>
                <w:sz w:val="18"/>
                <w:szCs w:val="18"/>
              </w:rPr>
            </w:pPr>
          </w:p>
        </w:tc>
        <w:tc>
          <w:tcPr>
            <w:tcW w:w="1276" w:type="dxa"/>
            <w:shd w:val="clear" w:color="FFFFFF" w:fill="auto"/>
            <w:noWrap/>
            <w:vAlign w:val="bottom"/>
          </w:tcPr>
          <w:p w14:paraId="48D45135" w14:textId="77777777" w:rsidR="00055BFC" w:rsidRPr="00487076" w:rsidRDefault="00055BFC" w:rsidP="00B92127">
            <w:pPr>
              <w:keepNext/>
              <w:keepLines/>
              <w:spacing w:line="240" w:lineRule="auto"/>
              <w:jc w:val="center"/>
              <w:rPr>
                <w:rFonts w:eastAsia="Times New Roman"/>
                <w:color w:val="000000"/>
                <w:sz w:val="18"/>
                <w:szCs w:val="18"/>
              </w:rPr>
            </w:pPr>
          </w:p>
        </w:tc>
      </w:tr>
      <w:tr w:rsidR="00055BFC" w:rsidRPr="00487076" w14:paraId="0E71773F" w14:textId="77777777" w:rsidTr="00B92127">
        <w:trPr>
          <w:trHeight w:val="270"/>
        </w:trPr>
        <w:tc>
          <w:tcPr>
            <w:tcW w:w="3261" w:type="dxa"/>
            <w:shd w:val="clear" w:color="000000" w:fill="F2F2F2"/>
            <w:noWrap/>
            <w:vAlign w:val="center"/>
          </w:tcPr>
          <w:p w14:paraId="63A5B4E2" w14:textId="77777777" w:rsidR="00055BFC" w:rsidRPr="00487076" w:rsidRDefault="00055BFC" w:rsidP="00B92127">
            <w:pPr>
              <w:keepNext/>
              <w:keepLines/>
              <w:spacing w:line="240" w:lineRule="auto"/>
              <w:rPr>
                <w:rFonts w:eastAsia="Times New Roman"/>
                <w:i/>
                <w:iCs/>
                <w:color w:val="000000"/>
                <w:sz w:val="18"/>
                <w:szCs w:val="18"/>
              </w:rPr>
            </w:pPr>
            <w:proofErr w:type="spellStart"/>
            <w:r>
              <w:rPr>
                <w:i/>
                <w:color w:val="000000"/>
                <w:sz w:val="18"/>
              </w:rPr>
              <w:t>Подытог</w:t>
            </w:r>
            <w:proofErr w:type="spellEnd"/>
            <w:r>
              <w:rPr>
                <w:i/>
                <w:color w:val="000000"/>
                <w:sz w:val="18"/>
              </w:rPr>
              <w:t>: аудит процесса</w:t>
            </w:r>
          </w:p>
        </w:tc>
        <w:tc>
          <w:tcPr>
            <w:tcW w:w="850" w:type="dxa"/>
            <w:shd w:val="clear" w:color="FFFFFF" w:fill="F2F2F2"/>
            <w:noWrap/>
            <w:vAlign w:val="center"/>
          </w:tcPr>
          <w:p w14:paraId="6719295A" w14:textId="77777777" w:rsidR="00055BFC" w:rsidRPr="00487076" w:rsidRDefault="00055BFC" w:rsidP="00B92127">
            <w:pPr>
              <w:keepNext/>
              <w:keepLines/>
              <w:spacing w:line="240" w:lineRule="auto"/>
              <w:jc w:val="center"/>
              <w:rPr>
                <w:rFonts w:eastAsia="Times New Roman"/>
                <w:i/>
                <w:iCs/>
                <w:color w:val="000000"/>
                <w:sz w:val="18"/>
                <w:szCs w:val="18"/>
              </w:rPr>
            </w:pPr>
            <w:r>
              <w:rPr>
                <w:i/>
                <w:color w:val="000000"/>
                <w:sz w:val="18"/>
              </w:rPr>
              <w:t>5</w:t>
            </w:r>
          </w:p>
        </w:tc>
        <w:tc>
          <w:tcPr>
            <w:tcW w:w="1134" w:type="dxa"/>
            <w:shd w:val="clear" w:color="FFFFFF" w:fill="F2F2F2"/>
            <w:noWrap/>
            <w:vAlign w:val="center"/>
          </w:tcPr>
          <w:p w14:paraId="4B544713" w14:textId="77777777" w:rsidR="00055BFC" w:rsidRPr="00487076" w:rsidRDefault="00055BFC" w:rsidP="00B92127">
            <w:pPr>
              <w:keepNext/>
              <w:keepLines/>
              <w:spacing w:line="240" w:lineRule="auto"/>
              <w:jc w:val="center"/>
              <w:rPr>
                <w:rFonts w:eastAsia="Times New Roman"/>
                <w:i/>
                <w:iCs/>
                <w:color w:val="000000"/>
                <w:sz w:val="18"/>
                <w:szCs w:val="18"/>
              </w:rPr>
            </w:pPr>
            <w:r>
              <w:rPr>
                <w:i/>
                <w:color w:val="000000"/>
                <w:sz w:val="18"/>
              </w:rPr>
              <w:t>—</w:t>
            </w:r>
          </w:p>
        </w:tc>
        <w:tc>
          <w:tcPr>
            <w:tcW w:w="1843" w:type="dxa"/>
            <w:shd w:val="clear" w:color="FFFFFF" w:fill="F2F2F2"/>
            <w:noWrap/>
            <w:vAlign w:val="center"/>
          </w:tcPr>
          <w:p w14:paraId="7B377486" w14:textId="77777777" w:rsidR="00055BFC" w:rsidRPr="00487076" w:rsidRDefault="00055BFC" w:rsidP="00B92127">
            <w:pPr>
              <w:keepNext/>
              <w:keepLines/>
              <w:spacing w:line="240" w:lineRule="auto"/>
              <w:jc w:val="center"/>
              <w:rPr>
                <w:rFonts w:eastAsia="Times New Roman"/>
                <w:i/>
                <w:iCs/>
                <w:color w:val="000000"/>
                <w:sz w:val="18"/>
                <w:szCs w:val="18"/>
              </w:rPr>
            </w:pPr>
            <w:r>
              <w:rPr>
                <w:i/>
                <w:color w:val="000000"/>
                <w:sz w:val="18"/>
              </w:rPr>
              <w:t>5</w:t>
            </w:r>
          </w:p>
        </w:tc>
        <w:tc>
          <w:tcPr>
            <w:tcW w:w="1417" w:type="dxa"/>
            <w:shd w:val="clear" w:color="FFFFFF" w:fill="F2F2F2"/>
            <w:noWrap/>
            <w:vAlign w:val="center"/>
          </w:tcPr>
          <w:p w14:paraId="197E239B" w14:textId="77777777" w:rsidR="00055BFC" w:rsidRPr="00487076" w:rsidRDefault="00055BFC" w:rsidP="00B92127">
            <w:pPr>
              <w:keepNext/>
              <w:keepLines/>
              <w:spacing w:line="240" w:lineRule="auto"/>
              <w:jc w:val="center"/>
              <w:rPr>
                <w:rFonts w:eastAsia="Times New Roman"/>
                <w:i/>
                <w:iCs/>
                <w:color w:val="000000"/>
                <w:sz w:val="18"/>
                <w:szCs w:val="18"/>
              </w:rPr>
            </w:pPr>
            <w:r>
              <w:rPr>
                <w:i/>
                <w:color w:val="000000"/>
                <w:sz w:val="18"/>
              </w:rPr>
              <w:t>—</w:t>
            </w:r>
          </w:p>
        </w:tc>
        <w:tc>
          <w:tcPr>
            <w:tcW w:w="1276" w:type="dxa"/>
            <w:shd w:val="clear" w:color="FFFFFF" w:fill="F2F2F2"/>
            <w:noWrap/>
            <w:vAlign w:val="center"/>
          </w:tcPr>
          <w:p w14:paraId="1728AC94" w14:textId="77777777" w:rsidR="00055BFC" w:rsidRPr="00487076" w:rsidRDefault="00055BFC" w:rsidP="00B92127">
            <w:pPr>
              <w:keepNext/>
              <w:keepLines/>
              <w:spacing w:line="240" w:lineRule="auto"/>
              <w:jc w:val="center"/>
              <w:rPr>
                <w:rFonts w:eastAsia="Times New Roman"/>
                <w:i/>
                <w:iCs/>
                <w:color w:val="000000"/>
                <w:sz w:val="18"/>
                <w:szCs w:val="18"/>
              </w:rPr>
            </w:pPr>
            <w:r>
              <w:rPr>
                <w:i/>
                <w:color w:val="000000"/>
                <w:sz w:val="18"/>
              </w:rPr>
              <w:t>—</w:t>
            </w:r>
          </w:p>
        </w:tc>
      </w:tr>
      <w:tr w:rsidR="00055BFC" w:rsidRPr="00487076" w14:paraId="504259CF" w14:textId="77777777" w:rsidTr="00B92127">
        <w:trPr>
          <w:trHeight w:val="263"/>
        </w:trPr>
        <w:tc>
          <w:tcPr>
            <w:tcW w:w="3261" w:type="dxa"/>
            <w:tcBorders>
              <w:bottom w:val="single" w:sz="2" w:space="0" w:color="auto"/>
            </w:tcBorders>
            <w:shd w:val="clear" w:color="auto" w:fill="auto"/>
            <w:noWrap/>
            <w:vAlign w:val="center"/>
          </w:tcPr>
          <w:p w14:paraId="31F85852" w14:textId="77777777" w:rsidR="00055BFC" w:rsidRPr="00487076" w:rsidRDefault="00055BFC" w:rsidP="00B92127">
            <w:pPr>
              <w:keepNext/>
              <w:keepLines/>
              <w:spacing w:line="240" w:lineRule="auto"/>
              <w:rPr>
                <w:rFonts w:eastAsia="Times New Roman"/>
                <w:b/>
                <w:bCs/>
                <w:color w:val="000000"/>
                <w:sz w:val="18"/>
                <w:szCs w:val="18"/>
              </w:rPr>
            </w:pPr>
            <w:r>
              <w:rPr>
                <w:b/>
                <w:color w:val="000000"/>
                <w:sz w:val="18"/>
              </w:rPr>
              <w:t>Итого</w:t>
            </w:r>
          </w:p>
        </w:tc>
        <w:tc>
          <w:tcPr>
            <w:tcW w:w="850" w:type="dxa"/>
            <w:tcBorders>
              <w:bottom w:val="single" w:sz="2" w:space="0" w:color="auto"/>
            </w:tcBorders>
            <w:shd w:val="clear" w:color="FFFFFF" w:fill="auto"/>
            <w:noWrap/>
            <w:vAlign w:val="center"/>
          </w:tcPr>
          <w:p w14:paraId="1F61109E" w14:textId="77777777" w:rsidR="00055BFC" w:rsidRPr="00487076" w:rsidRDefault="00055BFC" w:rsidP="00B92127">
            <w:pPr>
              <w:keepNext/>
              <w:keepLines/>
              <w:spacing w:line="240" w:lineRule="auto"/>
              <w:jc w:val="center"/>
              <w:rPr>
                <w:rFonts w:eastAsia="Times New Roman"/>
                <w:b/>
                <w:bCs/>
                <w:color w:val="000000"/>
                <w:sz w:val="18"/>
                <w:szCs w:val="18"/>
              </w:rPr>
            </w:pPr>
            <w:r>
              <w:rPr>
                <w:b/>
                <w:color w:val="000000"/>
                <w:sz w:val="18"/>
              </w:rPr>
              <w:t>28</w:t>
            </w:r>
          </w:p>
        </w:tc>
        <w:tc>
          <w:tcPr>
            <w:tcW w:w="1134" w:type="dxa"/>
            <w:tcBorders>
              <w:bottom w:val="single" w:sz="2" w:space="0" w:color="auto"/>
            </w:tcBorders>
            <w:shd w:val="clear" w:color="FFFFFF" w:fill="auto"/>
            <w:noWrap/>
            <w:vAlign w:val="center"/>
          </w:tcPr>
          <w:p w14:paraId="69C7342B" w14:textId="77777777" w:rsidR="00055BFC" w:rsidRPr="00487076" w:rsidRDefault="00055BFC" w:rsidP="00B92127">
            <w:pPr>
              <w:keepNext/>
              <w:keepLines/>
              <w:spacing w:line="240" w:lineRule="auto"/>
              <w:jc w:val="center"/>
              <w:rPr>
                <w:rFonts w:eastAsia="Times New Roman"/>
                <w:b/>
                <w:bCs/>
                <w:color w:val="000000"/>
                <w:sz w:val="18"/>
                <w:szCs w:val="18"/>
              </w:rPr>
            </w:pPr>
            <w:r>
              <w:rPr>
                <w:b/>
                <w:color w:val="000000"/>
                <w:sz w:val="18"/>
              </w:rPr>
              <w:t>5</w:t>
            </w:r>
          </w:p>
        </w:tc>
        <w:tc>
          <w:tcPr>
            <w:tcW w:w="1843" w:type="dxa"/>
            <w:tcBorders>
              <w:bottom w:val="single" w:sz="2" w:space="0" w:color="auto"/>
            </w:tcBorders>
            <w:shd w:val="clear" w:color="FFFFFF" w:fill="auto"/>
            <w:noWrap/>
            <w:vAlign w:val="center"/>
          </w:tcPr>
          <w:p w14:paraId="1A294D5C" w14:textId="77777777" w:rsidR="00055BFC" w:rsidRPr="00487076" w:rsidRDefault="00055BFC" w:rsidP="00B92127">
            <w:pPr>
              <w:keepNext/>
              <w:keepLines/>
              <w:spacing w:line="240" w:lineRule="auto"/>
              <w:jc w:val="center"/>
              <w:rPr>
                <w:rFonts w:eastAsia="Times New Roman"/>
                <w:b/>
                <w:bCs/>
                <w:color w:val="000000"/>
                <w:sz w:val="18"/>
                <w:szCs w:val="18"/>
              </w:rPr>
            </w:pPr>
            <w:r>
              <w:rPr>
                <w:b/>
                <w:color w:val="000000"/>
                <w:sz w:val="18"/>
              </w:rPr>
              <w:t>15</w:t>
            </w:r>
          </w:p>
        </w:tc>
        <w:tc>
          <w:tcPr>
            <w:tcW w:w="1417" w:type="dxa"/>
            <w:tcBorders>
              <w:bottom w:val="single" w:sz="2" w:space="0" w:color="auto"/>
            </w:tcBorders>
            <w:shd w:val="clear" w:color="FFFFFF" w:fill="auto"/>
            <w:noWrap/>
            <w:vAlign w:val="center"/>
          </w:tcPr>
          <w:p w14:paraId="3D897FF0" w14:textId="77777777" w:rsidR="00055BFC" w:rsidRPr="00487076" w:rsidRDefault="00055BFC" w:rsidP="00B92127">
            <w:pPr>
              <w:keepNext/>
              <w:keepLines/>
              <w:spacing w:line="240" w:lineRule="auto"/>
              <w:jc w:val="center"/>
              <w:rPr>
                <w:rFonts w:eastAsia="Times New Roman"/>
                <w:b/>
                <w:bCs/>
                <w:color w:val="000000"/>
                <w:sz w:val="18"/>
                <w:szCs w:val="18"/>
              </w:rPr>
            </w:pPr>
            <w:r>
              <w:rPr>
                <w:b/>
                <w:color w:val="000000"/>
                <w:sz w:val="18"/>
              </w:rPr>
              <w:t>5</w:t>
            </w:r>
          </w:p>
        </w:tc>
        <w:tc>
          <w:tcPr>
            <w:tcW w:w="1276" w:type="dxa"/>
            <w:tcBorders>
              <w:bottom w:val="single" w:sz="2" w:space="0" w:color="auto"/>
            </w:tcBorders>
            <w:shd w:val="clear" w:color="FFFFFF" w:fill="auto"/>
            <w:noWrap/>
            <w:vAlign w:val="center"/>
          </w:tcPr>
          <w:p w14:paraId="5EFDF8E5" w14:textId="77777777" w:rsidR="00055BFC" w:rsidRPr="00487076" w:rsidRDefault="00055BFC" w:rsidP="00B92127">
            <w:pPr>
              <w:keepNext/>
              <w:keepLines/>
              <w:spacing w:line="240" w:lineRule="auto"/>
              <w:jc w:val="center"/>
              <w:rPr>
                <w:rFonts w:eastAsia="Times New Roman"/>
                <w:b/>
                <w:bCs/>
                <w:color w:val="000000"/>
                <w:sz w:val="18"/>
                <w:szCs w:val="18"/>
              </w:rPr>
            </w:pPr>
            <w:r>
              <w:rPr>
                <w:b/>
                <w:color w:val="000000"/>
                <w:sz w:val="18"/>
              </w:rPr>
              <w:t>3</w:t>
            </w:r>
          </w:p>
        </w:tc>
      </w:tr>
    </w:tbl>
    <w:p w14:paraId="1C7C3444" w14:textId="77777777" w:rsidR="00055BFC" w:rsidRPr="00487076" w:rsidRDefault="00055BFC" w:rsidP="00055BFC">
      <w:pPr>
        <w:pStyle w:val="Subheading"/>
        <w:numPr>
          <w:ilvl w:val="0"/>
          <w:numId w:val="0"/>
        </w:numPr>
        <w:ind w:left="1260" w:hanging="551"/>
      </w:pPr>
      <w:r w:rsidRPr="00487076">
        <w:t>a.</w:t>
      </w:r>
      <w:r w:rsidRPr="00487076">
        <w:tab/>
      </w:r>
      <w:r>
        <w:t>Аудиты оперативных подразделений</w:t>
      </w:r>
    </w:p>
    <w:p w14:paraId="63EDD4EA" w14:textId="77777777" w:rsidR="00055BFC" w:rsidRPr="00C80B12" w:rsidRDefault="00055BFC" w:rsidP="00055BFC">
      <w:pPr>
        <w:pStyle w:val="Para1"/>
        <w:numPr>
          <w:ilvl w:val="0"/>
          <w:numId w:val="0"/>
        </w:numPr>
        <w:ind w:left="720" w:hanging="11"/>
      </w:pPr>
      <w:r w:rsidRPr="00C80B12">
        <w:t>31.</w:t>
      </w:r>
      <w:r w:rsidRPr="00C80B12">
        <w:tab/>
      </w:r>
      <w:r>
        <w:t>В 2024 году УАР выполнило 22 </w:t>
      </w:r>
      <w:proofErr w:type="gramStart"/>
      <w:r>
        <w:t>аудитов</w:t>
      </w:r>
      <w:proofErr w:type="gramEnd"/>
      <w:r>
        <w:t xml:space="preserve"> страновых отделений и одного регионального отделения. По результатам аудитов были выявлены некоторые общие аспекты в вопросах и рекомендациях по проверяемым отделениям</w:t>
      </w:r>
      <w:proofErr w:type="gramStart"/>
      <w:r>
        <w:t>.</w:t>
      </w:r>
      <w:proofErr w:type="gramEnd"/>
      <w:r>
        <w:t xml:space="preserve"> представленные ниже в разбивке по тематическим областям.</w:t>
      </w:r>
    </w:p>
    <w:p w14:paraId="360E0866" w14:textId="77777777" w:rsidR="00055BFC" w:rsidRPr="00487076" w:rsidRDefault="00055BFC" w:rsidP="00055BFC">
      <w:pPr>
        <w:pStyle w:val="Para1"/>
        <w:numPr>
          <w:ilvl w:val="0"/>
          <w:numId w:val="0"/>
        </w:numPr>
        <w:ind w:left="709"/>
      </w:pPr>
    </w:p>
    <w:p w14:paraId="53650067" w14:textId="77777777" w:rsidR="00055BFC" w:rsidRPr="00487076" w:rsidRDefault="00055BFC" w:rsidP="00055BFC">
      <w:pPr>
        <w:pStyle w:val="Subhead2"/>
      </w:pPr>
      <w:bookmarkStart w:id="35" w:name="_Hlk130983627"/>
      <w:r>
        <w:t>Управление</w:t>
      </w:r>
    </w:p>
    <w:p w14:paraId="64CD56F8" w14:textId="77777777" w:rsidR="00055BFC" w:rsidRPr="00487076" w:rsidRDefault="00055BFC" w:rsidP="00055BFC">
      <w:pPr>
        <w:pStyle w:val="Para1"/>
        <w:numPr>
          <w:ilvl w:val="0"/>
          <w:numId w:val="0"/>
        </w:numPr>
        <w:ind w:left="720" w:hanging="11"/>
      </w:pPr>
      <w:r w:rsidRPr="00487076">
        <w:t>32.</w:t>
      </w:r>
      <w:r w:rsidRPr="00487076">
        <w:tab/>
      </w:r>
      <w:r>
        <w:t>Обучение персонала планированию результатов, мониторингу и отчетности, а также усиление процессов обеспечения качества для составления высококачественных планов достижения результатов и улучшения мониторинга и отчетности.</w:t>
      </w:r>
    </w:p>
    <w:p w14:paraId="348E42FC" w14:textId="77777777" w:rsidR="00055BFC" w:rsidRPr="00487076" w:rsidRDefault="00055BFC" w:rsidP="00055BFC">
      <w:pPr>
        <w:pStyle w:val="Para1"/>
        <w:numPr>
          <w:ilvl w:val="0"/>
          <w:numId w:val="0"/>
        </w:numPr>
        <w:ind w:left="720" w:hanging="11"/>
      </w:pPr>
      <w:r w:rsidRPr="00487076">
        <w:t>33.</w:t>
      </w:r>
      <w:r w:rsidRPr="00487076">
        <w:tab/>
      </w:r>
      <w:r>
        <w:t>Согласование индивидуальных целей сотрудников с планами достижения результатов в отделении для повышения ответственности за достижение результатов;</w:t>
      </w:r>
    </w:p>
    <w:p w14:paraId="50AC7DAF" w14:textId="77777777" w:rsidR="00055BFC" w:rsidRPr="00487076" w:rsidRDefault="00055BFC" w:rsidP="00055BFC">
      <w:pPr>
        <w:pStyle w:val="Para1"/>
        <w:numPr>
          <w:ilvl w:val="0"/>
          <w:numId w:val="0"/>
        </w:numPr>
        <w:ind w:left="720" w:hanging="11"/>
      </w:pPr>
      <w:r w:rsidRPr="00487076">
        <w:t>34.</w:t>
      </w:r>
      <w:r w:rsidRPr="00487076">
        <w:tab/>
      </w:r>
      <w:r>
        <w:t>Страновые отделения должны проводить оценку рисков и совершенствовать практику управления рисками, активно отслеживая и управляя выявленными рисками, а также реализуя соответствующие меры реагирования на них с помощью корпоративного инструмента ОУР;</w:t>
      </w:r>
    </w:p>
    <w:p w14:paraId="045E8F00" w14:textId="77777777" w:rsidR="00055BFC" w:rsidRPr="00487076" w:rsidRDefault="00055BFC" w:rsidP="00055BFC">
      <w:pPr>
        <w:pStyle w:val="Para1"/>
        <w:numPr>
          <w:ilvl w:val="0"/>
          <w:numId w:val="0"/>
        </w:numPr>
        <w:ind w:left="720" w:hanging="11"/>
      </w:pPr>
      <w:r w:rsidRPr="00487076">
        <w:t>35.</w:t>
      </w:r>
      <w:r w:rsidRPr="00487076">
        <w:tab/>
      </w:r>
      <w:r>
        <w:t>Страновые отделения должны своевременно пересматривать свою организационную структуру и штатное расписание, чтобы привести их в соответствие с требованиями к выполнению программ и оперативным потребностям в новых программных циклах и ускорить процесс найма на вакантные должности.</w:t>
      </w:r>
    </w:p>
    <w:p w14:paraId="3AA0A01C" w14:textId="77777777" w:rsidR="00055BFC" w:rsidRPr="00487076" w:rsidRDefault="00055BFC" w:rsidP="00055BFC">
      <w:pPr>
        <w:pStyle w:val="Para1"/>
        <w:numPr>
          <w:ilvl w:val="0"/>
          <w:numId w:val="0"/>
        </w:numPr>
        <w:ind w:left="720" w:hanging="11"/>
      </w:pPr>
      <w:r w:rsidRPr="00487076">
        <w:t>36.</w:t>
      </w:r>
      <w:r w:rsidRPr="00487076">
        <w:tab/>
      </w:r>
      <w:r>
        <w:t>Страновые отделения должны разработать, реализовать и обеспечить отчетность по планам действий по выявлению, оценке и снижению критических или высоких рисков с использованием корпоративного инструмента управления рисками.</w:t>
      </w:r>
    </w:p>
    <w:p w14:paraId="3F2B12FC" w14:textId="77777777" w:rsidR="00055BFC" w:rsidRPr="00487076" w:rsidRDefault="00055BFC" w:rsidP="00055BFC">
      <w:pPr>
        <w:pStyle w:val="Subhead2"/>
      </w:pPr>
      <w:r>
        <w:t>Управление программами</w:t>
      </w:r>
    </w:p>
    <w:p w14:paraId="72842BF4" w14:textId="77777777" w:rsidR="00055BFC" w:rsidRPr="00487076" w:rsidRDefault="00055BFC" w:rsidP="00055BFC">
      <w:pPr>
        <w:pStyle w:val="Para1"/>
        <w:numPr>
          <w:ilvl w:val="0"/>
          <w:numId w:val="0"/>
        </w:numPr>
        <w:ind w:left="720" w:hanging="11"/>
      </w:pPr>
      <w:r w:rsidRPr="00487076">
        <w:t>37.</w:t>
      </w:r>
      <w:r w:rsidRPr="00487076">
        <w:tab/>
      </w:r>
      <w:r>
        <w:t xml:space="preserve">Укрепление процессов планирования, мониторинга и отчетности по программам путем обучения соответствующих сотрудников требованиям политики и корпоративным инструкциям, составления годовых планов достижения результатов с четкими показателями, этапами и целями, разработки подробных годовых планов мониторинга с определенными обязанностями, согласования исходных и целевых показателей в рамках различных систем и внедрения механизмов контроля качества для обеспечения соблюдения этих требований; </w:t>
      </w:r>
    </w:p>
    <w:p w14:paraId="53972ABF" w14:textId="77777777" w:rsidR="00055BFC" w:rsidRPr="00487076" w:rsidRDefault="00055BFC" w:rsidP="00055BFC">
      <w:pPr>
        <w:pStyle w:val="Para1"/>
        <w:numPr>
          <w:ilvl w:val="0"/>
          <w:numId w:val="0"/>
        </w:numPr>
        <w:ind w:left="720" w:hanging="11"/>
      </w:pPr>
      <w:r w:rsidRPr="00487076">
        <w:t>38.</w:t>
      </w:r>
      <w:r w:rsidRPr="00487076">
        <w:tab/>
      </w:r>
      <w:r>
        <w:t xml:space="preserve">Укрепление процессов планирования и финансового управления путем установления четких сроков и обязанностей по подготовке и утверждению планов работы, внедрения механизмов контроля за оперативной проверкой с использованием рекомендованных политикой контрольных перечней, обеспечения полного возмещения затрат за счет неосновных ресурсов, а также согласования показателей мероприятий между планами достижения результатов и ресурсов и планами работы; </w:t>
      </w:r>
    </w:p>
    <w:p w14:paraId="694FCC02" w14:textId="77777777" w:rsidR="00055BFC" w:rsidRPr="00487076" w:rsidRDefault="00055BFC" w:rsidP="00055BFC">
      <w:pPr>
        <w:pStyle w:val="Para1"/>
        <w:numPr>
          <w:ilvl w:val="0"/>
          <w:numId w:val="0"/>
        </w:numPr>
        <w:ind w:left="720" w:hanging="11"/>
      </w:pPr>
      <w:r w:rsidRPr="00487076">
        <w:t>39.</w:t>
      </w:r>
      <w:r w:rsidRPr="00487076">
        <w:tab/>
      </w:r>
      <w:r>
        <w:t xml:space="preserve">Улучшение управления партнерами-исполнителями путем использования конкурсных методов отбора партнеров-исполнителей из числа неправительственных организаций, своевременного проведения мероприятий по проверке применения согласованного подхода к переводу денежных средств, усиления контроля за программным и финансовым мониторингом, обеспечения соблюдения руководящих принципов в области защиты от сексуальной эксплуатации и сексуальных надругательств, улучшения управления рабочими планами путем разработки строгих процессов проверки качества, установления соответствующих условий перевода денежных средств на основе рейтинга партнеров и обеспечения своевременного выполнения рекомендаций по итогам мероприятий по обеспечению гарантий; </w:t>
      </w:r>
    </w:p>
    <w:p w14:paraId="355254C6" w14:textId="77777777" w:rsidR="00055BFC" w:rsidRPr="00487076" w:rsidRDefault="00055BFC" w:rsidP="00055BFC">
      <w:pPr>
        <w:pStyle w:val="Para1"/>
        <w:numPr>
          <w:ilvl w:val="0"/>
          <w:numId w:val="0"/>
        </w:numPr>
        <w:ind w:left="720" w:hanging="11"/>
      </w:pPr>
      <w:r w:rsidRPr="00487076">
        <w:t>40.</w:t>
      </w:r>
      <w:r w:rsidRPr="00487076">
        <w:tab/>
      </w:r>
      <w:r>
        <w:t>Усиление надзорного контроля для обеспечения своевременного осуществления запланированных мероприятий, представления отчетов донорам, а также эффективной координации и коммуникации с донорами; и</w:t>
      </w:r>
    </w:p>
    <w:p w14:paraId="328B06EC" w14:textId="77777777" w:rsidR="00055BFC" w:rsidRPr="00487076" w:rsidRDefault="00055BFC" w:rsidP="00055BFC">
      <w:pPr>
        <w:pStyle w:val="Para1"/>
        <w:numPr>
          <w:ilvl w:val="0"/>
          <w:numId w:val="0"/>
        </w:numPr>
        <w:ind w:left="720" w:hanging="11"/>
      </w:pPr>
      <w:r w:rsidRPr="00487076">
        <w:t>41.</w:t>
      </w:r>
      <w:r w:rsidRPr="00487076">
        <w:tab/>
      </w:r>
      <w:r>
        <w:t xml:space="preserve">Улучшение управления снабжением программ путем проведения тщательной оценки потребностей, включения мероприятий, связанных со снабжением программ, в планы работы, а также усиления контроля за хранением и распределением товаров. </w:t>
      </w:r>
    </w:p>
    <w:p w14:paraId="1A956128" w14:textId="77777777" w:rsidR="00055BFC" w:rsidRPr="00487076" w:rsidRDefault="00055BFC" w:rsidP="00055BFC">
      <w:pPr>
        <w:pStyle w:val="Subhead2"/>
      </w:pPr>
      <w:r>
        <w:t>Управление оперативной деятельностью</w:t>
      </w:r>
    </w:p>
    <w:p w14:paraId="6FBCF1B4" w14:textId="77777777" w:rsidR="00055BFC" w:rsidRPr="00487076" w:rsidRDefault="00055BFC" w:rsidP="00055BFC">
      <w:pPr>
        <w:pStyle w:val="Para1"/>
        <w:numPr>
          <w:ilvl w:val="0"/>
          <w:numId w:val="0"/>
        </w:numPr>
        <w:ind w:left="720" w:hanging="11"/>
      </w:pPr>
      <w:r w:rsidRPr="00487076">
        <w:t>42.</w:t>
      </w:r>
      <w:r w:rsidRPr="00487076">
        <w:tab/>
      </w:r>
      <w:r>
        <w:t xml:space="preserve">Повышение уровня соблюдения процедур закупок, особенно связанных с разработкой комплексных планов закупок, надлежащим документированием получения и проверки товаров с использованием корректных отчетов, предусмотренных политикой, и заключением долгосрочных соглашений для товаров и услуг, которые закупаются на регулярной основе; </w:t>
      </w:r>
    </w:p>
    <w:p w14:paraId="3E916CBE" w14:textId="77777777" w:rsidR="00055BFC" w:rsidRPr="00487076" w:rsidRDefault="00055BFC" w:rsidP="00055BFC">
      <w:pPr>
        <w:pStyle w:val="Para1"/>
        <w:numPr>
          <w:ilvl w:val="0"/>
          <w:numId w:val="0"/>
        </w:numPr>
        <w:ind w:left="720" w:hanging="11"/>
      </w:pPr>
      <w:r w:rsidRPr="00487076">
        <w:t>43.</w:t>
      </w:r>
      <w:r w:rsidRPr="00487076">
        <w:tab/>
      </w:r>
      <w:r>
        <w:t>Усиление финансового контроля за счет соблюдения установленных процедур проведения и учета авансовых платежей, учета возмещаемых сумм налога на добавленную стоимость, а также определения и привлечения соответствующих поставщиков платежных услуг для выплаты денежных средств с использованием усовершенствованных механизмов мониторинга;</w:t>
      </w:r>
    </w:p>
    <w:p w14:paraId="6C0593A8" w14:textId="77777777" w:rsidR="00055BFC" w:rsidRPr="00487076" w:rsidRDefault="00055BFC" w:rsidP="00055BFC">
      <w:pPr>
        <w:pStyle w:val="Para1"/>
        <w:numPr>
          <w:ilvl w:val="0"/>
          <w:numId w:val="0"/>
        </w:numPr>
        <w:ind w:left="720" w:hanging="11"/>
      </w:pPr>
      <w:r w:rsidRPr="00487076">
        <w:t>44.</w:t>
      </w:r>
      <w:r w:rsidRPr="00487076">
        <w:tab/>
      </w:r>
      <w:r>
        <w:t>Отказ от использования заказов на закупку, оформляемых вручную, и обеспечение использования заказов на закупку, сформированных в системе планирования ресурсов предприятия;</w:t>
      </w:r>
    </w:p>
    <w:p w14:paraId="2CFE7DAF" w14:textId="77777777" w:rsidR="00055BFC" w:rsidRPr="00487076" w:rsidRDefault="00055BFC" w:rsidP="00055BFC">
      <w:pPr>
        <w:pStyle w:val="Para1"/>
        <w:numPr>
          <w:ilvl w:val="0"/>
          <w:numId w:val="0"/>
        </w:numPr>
        <w:ind w:left="720" w:hanging="11"/>
      </w:pPr>
      <w:r w:rsidRPr="00487076">
        <w:t>45.</w:t>
      </w:r>
      <w:r w:rsidRPr="00487076">
        <w:tab/>
      </w:r>
      <w:r>
        <w:t>Обучение сотрудников управлению платежами и надлежащему учету финансовых операций, а также внедрение надзорного контроля для предотвращения отнесения расходов на ошибочные коды счетов; и</w:t>
      </w:r>
    </w:p>
    <w:p w14:paraId="3A285A8C" w14:textId="77777777" w:rsidR="00055BFC" w:rsidRPr="00487076" w:rsidRDefault="00055BFC" w:rsidP="00055BFC">
      <w:pPr>
        <w:pStyle w:val="Para1"/>
        <w:numPr>
          <w:ilvl w:val="0"/>
          <w:numId w:val="0"/>
        </w:numPr>
        <w:ind w:left="720" w:hanging="11"/>
      </w:pPr>
      <w:r w:rsidRPr="00487076">
        <w:t>46.</w:t>
      </w:r>
      <w:r w:rsidRPr="00487076">
        <w:tab/>
      </w:r>
      <w:r>
        <w:t xml:space="preserve">Усовершенствование управление людскими ресурсами путем обеспечения своевременного подписания договоров, усиления надзорного контроля за набором и увольнением сотрудников, документирования процессов, обучения персонала политике и получения необходимых разрешений. </w:t>
      </w:r>
    </w:p>
    <w:p w14:paraId="39267AA3" w14:textId="77777777" w:rsidR="00055BFC" w:rsidRPr="00487076" w:rsidRDefault="00055BFC" w:rsidP="00055BFC">
      <w:pPr>
        <w:pStyle w:val="Para1"/>
        <w:numPr>
          <w:ilvl w:val="0"/>
          <w:numId w:val="0"/>
        </w:numPr>
        <w:ind w:left="720" w:hanging="11"/>
      </w:pPr>
      <w:r w:rsidRPr="00487076">
        <w:t>47.</w:t>
      </w:r>
      <w:r w:rsidRPr="00487076">
        <w:tab/>
      </w:r>
      <w:r>
        <w:t xml:space="preserve">В дополнение к общим темам вопросов и рекомендаций, указанных выше, по итогам аудитов, выполненных в 2024 году, было выявлено </w:t>
      </w:r>
      <w:r>
        <w:rPr>
          <w:i/>
        </w:rPr>
        <w:t>несколько других вопросов с высоким уровнем риска</w:t>
      </w:r>
      <w:r>
        <w:t>, требующих особого внимания Исполнительного совета, в основном относящихся к отдельным подразделениям:</w:t>
      </w:r>
    </w:p>
    <w:p w14:paraId="143B8786" w14:textId="77777777" w:rsidR="00055BFC" w:rsidRPr="00487076" w:rsidRDefault="00055BFC" w:rsidP="00055BFC">
      <w:pPr>
        <w:pStyle w:val="Paraa"/>
        <w:numPr>
          <w:ilvl w:val="0"/>
          <w:numId w:val="0"/>
        </w:numPr>
        <w:ind w:left="720"/>
      </w:pPr>
      <w:r w:rsidRPr="00487076">
        <w:t>(a)</w:t>
      </w:r>
      <w:r w:rsidRPr="00487076">
        <w:tab/>
      </w:r>
      <w:r>
        <w:t>Одно из страновых отделений не обеспечило эффективного управления ресурсами, что привело к финансовому дефициту в размере 4,0 млн долл. США в связи с расходами на таможенное оформление и регулированием функционирования цепи снабжения в 2024 году (по прогнозам, в 2025 году этот показатель увеличится до 7,9 млн долл. США). Другие проблемы включали перерасход средств по проектам на общую сумму 1,1 млн долл. США и дефицит регулярных ресурсов в размере 0,5 млн долл. США по состоянию на 30 ноября 2024 года. По оценкам руководства, к концу декабря 2024 года дефицит увеличится примерно на 0,4 млн долл. США, а общий финансовый дефицит, по прогнозам, усугубится в связи с ожидаемым ретроактивным повышением заработной платы после недавнего национального исследования заработных плат сотрудников. Финансовые последствия ретроактивных действий, охватывающих три года (2023–2025), оцениваются в 3,3 млн долл. США, при этом первоначальная оценка последствий на 2024 год составляла 2,2 млн долл. США. Окончательные финансовые последствия ретроактивных расходов на заработную плату оказались ниже (847 000 долл. США на 2023–2024 годы) и были покрыты за счет дополнительных ассигнований, утвержденных Комитетом по управлению ресурсами ЮНФПА в январе 2025 года. Кроме того, страновое отделение провело реорганизацию структуры, что позволило сократить его площадь и привести ее в соответствие с имеющимися ресурсами. Реорганизация была одобрена Комитетом по управлению ресурсами в феврале 2025 года. Существенные проблемы в процессе расчета стоимости заявок на финансирование, планирования ресурсов, составления бюджета и распределения расходов способствовали возникновению финансового дефицита, усугубляемого неучтенными расходными операциями, что ограничивало видимость понесенных расходов;</w:t>
      </w:r>
    </w:p>
    <w:p w14:paraId="4ACADE05" w14:textId="77777777" w:rsidR="00055BFC" w:rsidRPr="00487076" w:rsidRDefault="00055BFC" w:rsidP="00055BFC">
      <w:pPr>
        <w:pStyle w:val="Paraa"/>
        <w:numPr>
          <w:ilvl w:val="0"/>
          <w:numId w:val="0"/>
        </w:numPr>
        <w:ind w:left="720"/>
      </w:pPr>
      <w:r w:rsidRPr="00487076">
        <w:t>(b)</w:t>
      </w:r>
      <w:r w:rsidRPr="00487076">
        <w:tab/>
      </w:r>
      <w:r>
        <w:t>В июле 2024 года Центральный банк Йемена (Аден) отозвал лицензии у шести коммерческих банков, работающих в стране. Один из шести банков был коммерческим банком, используемым большинством учреждений Организации Объединенных Наций, включая ПРООН, через который ЮНФПА и несколько его партнеров-исполнителей в Йемене осуществляли операции. Неожиданное закрытие банков привело к нехватке ликвидных средств, что негативно сказалось на деятельности ЮНФПА в стране. Денежные авансы в размере 4,2 млн долл. США, ранее переведенные ЮНФПА на банковские счета партнеров-исполнителей для осуществления программной деятельности, стали недоступны. В целях смягчения последствий сбоев в работе ЮНФПА и обеспечения продолжения осуществления программ, страновое отделение предприняло ряд своевременных мер по согласованию с региональным отделением и штаб-квартирой. Хотя усилия по смягчению последствий были признаны, УАР рекомендовало дополнительные меры для устранения критического характера банковской ситуации и дальнейшего снижения ее негативного воздействия на осуществление программ;</w:t>
      </w:r>
    </w:p>
    <w:p w14:paraId="63B44473" w14:textId="77777777" w:rsidR="00055BFC" w:rsidRPr="00487076" w:rsidRDefault="00055BFC" w:rsidP="00055BFC">
      <w:pPr>
        <w:pStyle w:val="Paraa"/>
        <w:numPr>
          <w:ilvl w:val="0"/>
          <w:numId w:val="0"/>
        </w:numPr>
        <w:ind w:left="720"/>
      </w:pPr>
      <w:r w:rsidRPr="00487076">
        <w:t>(c)</w:t>
      </w:r>
      <w:r w:rsidRPr="00487076">
        <w:tab/>
      </w:r>
      <w:r>
        <w:t xml:space="preserve">Одно страновое отделение осуществило программу предоставления помощи в виде денежных средств и ваучеров (Cash </w:t>
      </w:r>
      <w:proofErr w:type="spellStart"/>
      <w:r>
        <w:t>and</w:t>
      </w:r>
      <w:proofErr w:type="spellEnd"/>
      <w:r>
        <w:t xml:space="preserve"> </w:t>
      </w:r>
      <w:proofErr w:type="spellStart"/>
      <w:r>
        <w:t>Voucher</w:t>
      </w:r>
      <w:proofErr w:type="spellEnd"/>
      <w:r>
        <w:t xml:space="preserve"> </w:t>
      </w:r>
      <w:proofErr w:type="spellStart"/>
      <w:r>
        <w:t>Assistance</w:t>
      </w:r>
      <w:proofErr w:type="spellEnd"/>
      <w:r>
        <w:t>, CVA) стоимостью 1,2 млн долл. США (на сентябрь 2024 года). Проект и реализация программы по предоставлению помощи в виде денежных средств и ваучеров имели ряд недостатков, включая следующее: (</w:t>
      </w:r>
      <w:r>
        <w:rPr>
          <w:lang w:val="en-US"/>
        </w:rPr>
        <w:t>a</w:t>
      </w:r>
      <w:r>
        <w:t>) программа не была предварительно одобрена соответствующим региональным отделением и штаб-квартирой до начала осуществления, как того требует политика; (</w:t>
      </w:r>
      <w:r>
        <w:rPr>
          <w:lang w:val="en-US"/>
        </w:rPr>
        <w:t>b</w:t>
      </w:r>
      <w:r>
        <w:t>) проведенная оценка рисков программы не охватывала финансовые и фидуциарные риски и не была одобрена штаб-квартирой ЮНФПА, как того требует политика; (</w:t>
      </w:r>
      <w:r>
        <w:rPr>
          <w:lang w:val="en-US"/>
        </w:rPr>
        <w:t>c</w:t>
      </w:r>
      <w:r>
        <w:t>) значительная часть прямых денежных выплат (0,9 млн долл. США в 2024 году) использовалась для программы предоставления помощи в виде денежных средств и ваучеров, что в определенных контекстах категорически не рекомендуется политикой; и (</w:t>
      </w:r>
      <w:r>
        <w:rPr>
          <w:lang w:val="en-US"/>
        </w:rPr>
        <w:t>d</w:t>
      </w:r>
      <w:r>
        <w:t xml:space="preserve">) информация о бенефициарах, хранящаяся в страновом отделении, была недостаточной для эффективной проверки отчетов о распределении и мониторинга после распределения; </w:t>
      </w:r>
    </w:p>
    <w:p w14:paraId="15B2D96E" w14:textId="77777777" w:rsidR="00055BFC" w:rsidRPr="00487076" w:rsidRDefault="00055BFC" w:rsidP="00055BFC">
      <w:pPr>
        <w:pStyle w:val="Paraa"/>
        <w:numPr>
          <w:ilvl w:val="0"/>
          <w:numId w:val="0"/>
        </w:numPr>
        <w:ind w:left="720"/>
      </w:pPr>
      <w:r w:rsidRPr="00487076">
        <w:t>(d)</w:t>
      </w:r>
      <w:r w:rsidRPr="00487076">
        <w:tab/>
      </w:r>
      <w:r>
        <w:t>Одно страновое отделение закупило избыточное количество противозачаточных средств по сравнению с выявленными потребностями, что повысило риск потерь, повреждений и истечения срока годности продукции. Это произошло несмотря на то, что в отчете о количественной оценке и прогнозировании товаров, который должен был содержать информацию об уровне запасов, указывалось, что этот метод контрацепции является одним из наименее используемых в стране; и</w:t>
      </w:r>
    </w:p>
    <w:p w14:paraId="094C08C9" w14:textId="77777777" w:rsidR="00055BFC" w:rsidRPr="00487076" w:rsidRDefault="00055BFC" w:rsidP="00055BFC">
      <w:pPr>
        <w:pStyle w:val="Paraa"/>
        <w:numPr>
          <w:ilvl w:val="0"/>
          <w:numId w:val="0"/>
        </w:numPr>
        <w:ind w:left="720"/>
      </w:pPr>
      <w:r w:rsidRPr="00487076">
        <w:t>(e)</w:t>
      </w:r>
      <w:r w:rsidRPr="00487076">
        <w:tab/>
      </w:r>
      <w:r>
        <w:t>Два страновых отделения широко использовали заказы на поставку, оформляемые вручную: одно из них выпустило более 200 заказов на поставку на общую сумму 350 000 долл. США, а другое — более 100 таких заказов на общую сумму 100 000 долл. США. Использование заказов на поставку, оформленных вручную, исключало возможность применения ключевых контрольных механизмов, встроенных в корпоративную систему планирования ресурсов предприятия. Тем не менее при проверке выборки заказов на поставку, оформленных вручную, УАР не выявило фактических нарушений установленных процедур контроля.</w:t>
      </w:r>
    </w:p>
    <w:p w14:paraId="44F9C6DC" w14:textId="77777777" w:rsidR="00055BFC" w:rsidRPr="00487076" w:rsidRDefault="00055BFC" w:rsidP="00055BFC">
      <w:pPr>
        <w:pStyle w:val="Para1"/>
        <w:numPr>
          <w:ilvl w:val="0"/>
          <w:numId w:val="0"/>
        </w:numPr>
        <w:ind w:left="720" w:hanging="11"/>
      </w:pPr>
      <w:r w:rsidRPr="00487076">
        <w:t>48.</w:t>
      </w:r>
      <w:r w:rsidRPr="00487076">
        <w:tab/>
      </w:r>
      <w:r>
        <w:t>Подробная информация об общих вопросах, вопросах высокого и среднего риска и рекомендациях представлена в приложении 3.</w:t>
      </w:r>
    </w:p>
    <w:p w14:paraId="3D4EB678" w14:textId="77777777" w:rsidR="00055BFC" w:rsidRPr="00487076" w:rsidRDefault="00055BFC" w:rsidP="00055BFC">
      <w:pPr>
        <w:pStyle w:val="Subheading"/>
        <w:numPr>
          <w:ilvl w:val="0"/>
          <w:numId w:val="0"/>
        </w:numPr>
        <w:tabs>
          <w:tab w:val="left" w:pos="1134"/>
        </w:tabs>
        <w:ind w:left="709"/>
      </w:pPr>
      <w:r w:rsidRPr="00487076">
        <w:t>b.</w:t>
      </w:r>
      <w:r w:rsidRPr="00487076">
        <w:tab/>
      </w:r>
      <w:r>
        <w:t>Аудиты корпоративных и бизнес-процессов</w:t>
      </w:r>
    </w:p>
    <w:bookmarkEnd w:id="35"/>
    <w:p w14:paraId="0FBAFD8D" w14:textId="77777777" w:rsidR="00055BFC" w:rsidRPr="00487076" w:rsidRDefault="00055BFC" w:rsidP="00055BFC">
      <w:pPr>
        <w:pStyle w:val="Para1"/>
        <w:numPr>
          <w:ilvl w:val="0"/>
          <w:numId w:val="0"/>
        </w:numPr>
        <w:ind w:left="720" w:hanging="11"/>
      </w:pPr>
      <w:r w:rsidRPr="00487076">
        <w:t>49.</w:t>
      </w:r>
      <w:r w:rsidRPr="00487076">
        <w:tab/>
      </w:r>
      <w:r>
        <w:t>В 2024 году УАР выполнило пять задач по аудиту корпоративных и бизнес-процессов. Это были аудиты процесса набора персонала в штаб-квартире ЮНФПА, управления непрерывностью деятельности, системы планирования ресурсов предприятия (Quantum), практики и процессов управления информационной безопасностью, а также практики и процессов управления идентификационными данными и доступом.</w:t>
      </w:r>
    </w:p>
    <w:p w14:paraId="139DC98A" w14:textId="77777777" w:rsidR="00055BFC" w:rsidRPr="00487076" w:rsidRDefault="00055BFC" w:rsidP="00055BFC">
      <w:pPr>
        <w:pStyle w:val="Para1"/>
        <w:numPr>
          <w:ilvl w:val="0"/>
          <w:numId w:val="0"/>
        </w:numPr>
        <w:ind w:left="720" w:hanging="11"/>
      </w:pPr>
      <w:r w:rsidRPr="00487076">
        <w:t>50.</w:t>
      </w:r>
      <w:r w:rsidRPr="00487076">
        <w:tab/>
      </w:r>
      <w:r>
        <w:t>По итогам аудита процесса набора персонала в штаб-квартире ЮНФПА</w:t>
      </w:r>
      <w:r w:rsidRPr="00487076">
        <w:rPr>
          <w:vertAlign w:val="superscript"/>
        </w:rPr>
        <w:footnoteReference w:id="8"/>
      </w:r>
      <w:r>
        <w:t xml:space="preserve"> была получена общая оценка «частично удовлетворительно и требует некоторых улучшений», а из шести вынесенных рекомендаций четыре имели высокий приоритет. УАР рекомендовало ЮНФПА разработать и осуществить план действий с установленными сроками для устранения недостатков в системе набора персонала организации. В частности, ЮНФПА должен разработать четкие руководящие принципы и ключевые показатели эффективности для контроля за соблюдением политики набора персонала, расширить использование технологических решений для упорядочения управления данными и отчетности, а также обеспечить последовательную оценку рисков на всех этапах набора персонала. Кроме того, УАР рекомендовало создать централизованную информационную панель для отслеживания хода набора и устранения задержек, а также разработать программы обучения для повышения квалификации сотрудников в управлении процессом найма. Эти меры были направлены на снижение таких рисков, как нехватка технических ресурсов, непоследовательное применение политики и задержки с заполнением важнейших должностей, которые могут помешать организации эффективно выполнять свой мандат.</w:t>
      </w:r>
    </w:p>
    <w:p w14:paraId="27497944" w14:textId="77777777" w:rsidR="00055BFC" w:rsidRPr="00487076" w:rsidRDefault="00055BFC" w:rsidP="00055BFC">
      <w:pPr>
        <w:pStyle w:val="Para1"/>
        <w:numPr>
          <w:ilvl w:val="0"/>
          <w:numId w:val="0"/>
        </w:numPr>
        <w:ind w:left="720" w:hanging="11"/>
      </w:pPr>
      <w:r w:rsidRPr="00487076">
        <w:t>51.</w:t>
      </w:r>
      <w:r w:rsidRPr="00487076">
        <w:tab/>
      </w:r>
      <w:r>
        <w:t>По итогам аудита системы управления непрерывностью деятельности</w:t>
      </w:r>
      <w:r w:rsidRPr="00487076">
        <w:rPr>
          <w:vertAlign w:val="superscript"/>
        </w:rPr>
        <w:footnoteReference w:id="9"/>
      </w:r>
      <w:r>
        <w:t xml:space="preserve"> была получена общая оценка «частично удовлетворительно и требует некоторых улучшений», а из шести вынесенных рекомендаций три имели высокий приоритет. УАР рекомендовало обновить устаревшие стратегии, процедуры и руководства, чтобы обеспечить соответствие текущим оперативным потребностям, разработать четкие руководящие принципы и ключевые показатели эффективности для повышения качества управления критическими инцидентами и восстановлением после сбоев, а также использовать технологии для улучшения сбора данных и отчетности во всех отделениях. УАР также рекомендовало регулярно проводить оценку рисков и включать их в план обеспечения непрерывности деятельности, разработать надежную стратегию восстановления после сбоев с анализом последствий и создать централизованную систему мониторинга для отслеживания соблюдения требований и эффективности мер реагирования. Эти меры были направлены на устранение таких рисков, как ненадлежащие корпоративные руководства, недостаточные процессы оценки рисков и задержки в оперативном реагировании, которые могут подорвать способность организации эффективно управлять сбоями и восстанавливаться после них. </w:t>
      </w:r>
    </w:p>
    <w:p w14:paraId="48BE0024" w14:textId="77777777" w:rsidR="00055BFC" w:rsidRPr="00487076" w:rsidRDefault="00055BFC" w:rsidP="00055BFC">
      <w:pPr>
        <w:pStyle w:val="Para1"/>
        <w:numPr>
          <w:ilvl w:val="0"/>
          <w:numId w:val="0"/>
        </w:numPr>
        <w:ind w:left="720" w:hanging="11"/>
      </w:pPr>
      <w:r w:rsidRPr="00487076">
        <w:t>52.</w:t>
      </w:r>
      <w:r w:rsidRPr="00487076">
        <w:tab/>
      </w:r>
      <w:r>
        <w:t>По итогам аудита системы планирования ресурсов предприятия ЮНФПА (Quantum)</w:t>
      </w:r>
      <w:r w:rsidRPr="00487076">
        <w:rPr>
          <w:vertAlign w:val="superscript"/>
        </w:rPr>
        <w:footnoteReference w:id="10"/>
      </w:r>
      <w:r>
        <w:t xml:space="preserve"> была получена общая оценка «частично удовлетворительно и требует некоторых улучшений», а из девяти вынесенных рекомендаций одна имела высокий приоритет.</w:t>
      </w:r>
    </w:p>
    <w:p w14:paraId="3C184822" w14:textId="77777777" w:rsidR="00055BFC" w:rsidRPr="00487076" w:rsidRDefault="00055BFC" w:rsidP="00055BFC">
      <w:pPr>
        <w:pStyle w:val="Para1"/>
        <w:numPr>
          <w:ilvl w:val="0"/>
          <w:numId w:val="0"/>
        </w:numPr>
        <w:ind w:left="720" w:hanging="11"/>
      </w:pPr>
      <w:r w:rsidRPr="00487076">
        <w:t>53.</w:t>
      </w:r>
      <w:r w:rsidRPr="00487076">
        <w:tab/>
      </w:r>
      <w:r>
        <w:t>По итогам аудита практики управления информационной безопасностью ЮНФПА</w:t>
      </w:r>
      <w:r w:rsidRPr="00487076">
        <w:rPr>
          <w:vertAlign w:val="superscript"/>
        </w:rPr>
        <w:footnoteReference w:id="11"/>
      </w:r>
      <w:r>
        <w:t xml:space="preserve"> была получена общая оценка «частично удовлетворительно и требует некоторых улучшений», а из семи вынесенных рекомендаций одна имела высокий приоритет.</w:t>
      </w:r>
    </w:p>
    <w:p w14:paraId="0A941F24" w14:textId="77777777" w:rsidR="00055BFC" w:rsidRPr="00487076" w:rsidRDefault="00055BFC" w:rsidP="00055BFC">
      <w:pPr>
        <w:pStyle w:val="Para1"/>
        <w:numPr>
          <w:ilvl w:val="0"/>
          <w:numId w:val="0"/>
        </w:numPr>
        <w:ind w:left="720" w:hanging="11"/>
      </w:pPr>
      <w:r w:rsidRPr="00487076">
        <w:t>54.</w:t>
      </w:r>
      <w:r w:rsidRPr="00487076">
        <w:tab/>
      </w:r>
      <w:r>
        <w:t>По итогам аудита практики и процессов управления идентификационными данными и доступом ЮНФПА</w:t>
      </w:r>
      <w:r w:rsidRPr="00487076">
        <w:rPr>
          <w:vertAlign w:val="superscript"/>
        </w:rPr>
        <w:footnoteReference w:id="12"/>
      </w:r>
      <w:r>
        <w:t xml:space="preserve"> была получена общая оценка «частично удовлетворительно и требует некоторых улучшений», и все пять вынесенных рекомендаций имели средний приоритет. </w:t>
      </w:r>
    </w:p>
    <w:p w14:paraId="6F7B52EF" w14:textId="6C49025A" w:rsidR="00055BFC" w:rsidRPr="00487076" w:rsidRDefault="00055BFC" w:rsidP="00055BFC">
      <w:pPr>
        <w:pStyle w:val="Para1"/>
        <w:numPr>
          <w:ilvl w:val="0"/>
          <w:numId w:val="0"/>
        </w:numPr>
        <w:ind w:left="720" w:hanging="11"/>
      </w:pPr>
      <w:r w:rsidRPr="00487076">
        <w:t>55.</w:t>
      </w:r>
      <w:r w:rsidRPr="00487076">
        <w:tab/>
      </w:r>
      <w:r>
        <w:t>В 2024 году руководство приняло меры для решения вопросов, поднятых в заключении УАР от 2023</w:t>
      </w:r>
      <w:r>
        <w:rPr>
          <w:lang w:val="en-US"/>
        </w:rPr>
        <w:t> </w:t>
      </w:r>
      <w:r>
        <w:t>года о процессах руководства, управления рисками и контроля в организации, а также рекомендаций, содержащихся в отчетах о внутреннем аудите, опубликованных в 2024 году. Несколько рекомендаций, запланированные к выполнению на 2024 год, уже были выполнены к концу года. Подробная информация о действиях, предпринятых руководством в 2024 году, приведена в приложении 2.</w:t>
      </w:r>
    </w:p>
    <w:p w14:paraId="69299721" w14:textId="1713EE26" w:rsidR="00055BFC" w:rsidRPr="00487076" w:rsidRDefault="00055BFC" w:rsidP="00055BFC">
      <w:pPr>
        <w:pStyle w:val="Subheading"/>
        <w:numPr>
          <w:ilvl w:val="0"/>
          <w:numId w:val="0"/>
        </w:numPr>
        <w:tabs>
          <w:tab w:val="clear" w:pos="1620"/>
          <w:tab w:val="left" w:pos="1134"/>
        </w:tabs>
        <w:ind w:left="709"/>
      </w:pPr>
      <w:r w:rsidRPr="00487076">
        <w:t>c.</w:t>
      </w:r>
      <w:r w:rsidRPr="00487076">
        <w:tab/>
      </w:r>
      <w:r>
        <w:t>Стратегия внутреннего аудита</w:t>
      </w:r>
    </w:p>
    <w:p w14:paraId="7B97B403" w14:textId="0923CAF2" w:rsidR="00055BFC" w:rsidRPr="00487076" w:rsidRDefault="00055BFC" w:rsidP="00055BFC">
      <w:pPr>
        <w:pStyle w:val="Para1"/>
        <w:numPr>
          <w:ilvl w:val="0"/>
          <w:numId w:val="0"/>
        </w:numPr>
        <w:ind w:left="720" w:hanging="11"/>
      </w:pPr>
      <w:r w:rsidRPr="00487076">
        <w:t>56.</w:t>
      </w:r>
      <w:r w:rsidRPr="00487076">
        <w:tab/>
      </w:r>
      <w:r>
        <w:t>На основании результатов работы по выполнению плана аудита на 2024 год и в соответствии со Стандартами</w:t>
      </w:r>
      <w:r w:rsidRPr="00487076">
        <w:rPr>
          <w:vertAlign w:val="superscript"/>
        </w:rPr>
        <w:footnoteReference w:id="13"/>
      </w:r>
      <w:r>
        <w:t xml:space="preserve"> при составлении общего доклада о процессах руководства, управления рисками и контроля ЮНФПА УАР учло оценки, выставленные им на уровне отдельных задач по 28 опубликованным в течение года отчетам о внутреннем аудите. Хотя 11 процентов (4 процента в 2023 году) из 28 отчетов о внутреннем аудите получили оценку «неудовлетворительно», а 18 процентов — оценку «частично удовлетворительно и требует некоторых улучшений» (33 процента в 2023 году), ни один из вопросов, указанных в отчетах (наиболее распространенные из них рассмотрены в подразделах выше), не был оценен как достаточно значительный, чтобы существенно повлиять на достижение целей ЮНФПА. </w:t>
      </w:r>
    </w:p>
    <w:p w14:paraId="05E1CDEE" w14:textId="1CDCD659" w:rsidR="00055BFC" w:rsidRDefault="00055BFC" w:rsidP="00055BFC">
      <w:pPr>
        <w:pStyle w:val="Para1"/>
        <w:numPr>
          <w:ilvl w:val="0"/>
          <w:numId w:val="0"/>
        </w:numPr>
        <w:ind w:left="720" w:hanging="11"/>
      </w:pPr>
      <w:r>
        <w:t>57.</w:t>
      </w:r>
      <w:r>
        <w:tab/>
        <w:t>На рисунке 1 ниже представлен обзор рейтингов внутреннего аудита по аудиторским отчетам, выпущенным за 2020–2024 гг.</w:t>
      </w:r>
    </w:p>
    <w:p w14:paraId="42A5DA3C" w14:textId="0BF7F2AC" w:rsidR="00055BFC" w:rsidRPr="00487076" w:rsidRDefault="007E3045" w:rsidP="00055BFC">
      <w:pPr>
        <w:pStyle w:val="Figure"/>
      </w:pPr>
      <w:r>
        <w:rPr>
          <w:noProof/>
          <w:lang w:val="en-US"/>
        </w:rPr>
        <w:drawing>
          <wp:anchor distT="0" distB="0" distL="114300" distR="114300" simplePos="0" relativeHeight="251665408" behindDoc="0" locked="0" layoutInCell="1" allowOverlap="1" wp14:anchorId="52D07FF0" wp14:editId="0EDAA03F">
            <wp:simplePos x="0" y="0"/>
            <wp:positionH relativeFrom="column">
              <wp:posOffset>447675</wp:posOffset>
            </wp:positionH>
            <wp:positionV relativeFrom="paragraph">
              <wp:posOffset>266065</wp:posOffset>
            </wp:positionV>
            <wp:extent cx="6049645" cy="2424023"/>
            <wp:effectExtent l="0" t="0" r="8255" b="0"/>
            <wp:wrapTopAndBottom/>
            <wp:docPr id="893168981" name="Graf 1">
              <a:extLst xmlns:a="http://schemas.openxmlformats.org/drawingml/2006/main">
                <a:ext uri="{FF2B5EF4-FFF2-40B4-BE49-F238E27FC236}">
                  <a16:creationId xmlns:a16="http://schemas.microsoft.com/office/drawing/2014/main" id="{1BE2AC00-F126-4CE3-8764-1013FB243E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055BFC">
        <w:t>Рисунок 1. Обзор рейтингов внутреннего аудита за 2020–2024 гг.</w:t>
      </w:r>
    </w:p>
    <w:p w14:paraId="6FB2012B" w14:textId="10DD1193" w:rsidR="00055BFC" w:rsidRDefault="00055BFC" w:rsidP="00055BFC">
      <w:pPr>
        <w:ind w:left="709"/>
        <w:rPr>
          <w:rFonts w:eastAsia="Times New Roman"/>
          <w:color w:val="000000"/>
          <w:szCs w:val="20"/>
          <w:lang w:val="cs-CZ"/>
        </w:rPr>
      </w:pPr>
    </w:p>
    <w:p w14:paraId="1AE3B281" w14:textId="0CA2A6A1" w:rsidR="00055BFC" w:rsidRPr="00487076" w:rsidRDefault="00055BFC" w:rsidP="00055BFC">
      <w:pPr>
        <w:pStyle w:val="Subheading"/>
        <w:numPr>
          <w:ilvl w:val="0"/>
          <w:numId w:val="0"/>
        </w:numPr>
        <w:tabs>
          <w:tab w:val="clear" w:pos="1620"/>
          <w:tab w:val="left" w:pos="1134"/>
        </w:tabs>
        <w:ind w:left="709"/>
      </w:pPr>
      <w:r w:rsidRPr="00487076">
        <w:t>d.</w:t>
      </w:r>
      <w:r w:rsidRPr="00487076">
        <w:tab/>
      </w:r>
      <w:r>
        <w:t>Новые рекомендации по внутреннему аудиту</w:t>
      </w:r>
    </w:p>
    <w:p w14:paraId="2C43B749" w14:textId="719A9A80" w:rsidR="00055BFC" w:rsidRPr="00487076" w:rsidRDefault="00055BFC" w:rsidP="00055BFC">
      <w:pPr>
        <w:pStyle w:val="Para1"/>
        <w:numPr>
          <w:ilvl w:val="0"/>
          <w:numId w:val="0"/>
        </w:numPr>
        <w:ind w:left="720" w:hanging="11"/>
      </w:pPr>
      <w:r w:rsidRPr="00487076">
        <w:t>58.</w:t>
      </w:r>
      <w:r w:rsidRPr="00487076">
        <w:tab/>
      </w:r>
      <w:r>
        <w:t>По итогам 28 аудиторских отчетов, опубликованных в 2024 году, было вынесено 205 рекомендаций, 84 (41 процент) из которых были отнесены к категории «высокоприоритетных».</w:t>
      </w:r>
    </w:p>
    <w:p w14:paraId="3CDB3CBE" w14:textId="77777777" w:rsidR="00055BFC" w:rsidRDefault="00055BFC" w:rsidP="00055BFC">
      <w:pPr>
        <w:pStyle w:val="Para1"/>
        <w:numPr>
          <w:ilvl w:val="0"/>
          <w:numId w:val="0"/>
        </w:numPr>
        <w:ind w:left="720" w:hanging="11"/>
      </w:pPr>
      <w:r>
        <w:t>59.</w:t>
      </w:r>
      <w:r>
        <w:tab/>
        <w:t>В целом в 2024 году страновым отделениям и одному субрегиональному отделению было вынесено 178 рекомендаций (174 в 2023 году). Картина по 2024 году соответствовала 2023 году, когда самой большой категорией было «управление программами». В 2024 году большее количество рекомендаций (51, или 29 процентов) было вынесено по разделу «Управление операциями» (32, или 18 процентов, в 2023 году). Доля «высокоприоритетных» рекомендаций снизилась в 2024 году по сравнению с 2023 годом (см. рисунок 2 ниже).</w:t>
      </w:r>
    </w:p>
    <w:p w14:paraId="41B61AF7" w14:textId="77777777" w:rsidR="00055BFC" w:rsidRPr="00487076" w:rsidRDefault="00055BFC" w:rsidP="00055BFC">
      <w:pPr>
        <w:pStyle w:val="Figure"/>
        <w:spacing w:before="480" w:after="240"/>
        <w:ind w:left="1281" w:right="578"/>
      </w:pPr>
      <w:r>
        <w:t>Рисунок 2. Страновые и субрегиональные отделения — рекомендации по уровням приоритетности</w:t>
      </w:r>
    </w:p>
    <w:tbl>
      <w:tblPr>
        <w:tblStyle w:val="TableGrid"/>
        <w:tblW w:w="10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10371"/>
      </w:tblGrid>
      <w:tr w:rsidR="00055BFC" w:rsidRPr="00487076" w14:paraId="54316F14" w14:textId="77777777" w:rsidTr="00B92127">
        <w:trPr>
          <w:trHeight w:val="51"/>
        </w:trPr>
        <w:tc>
          <w:tcPr>
            <w:tcW w:w="10371" w:type="dxa"/>
          </w:tcPr>
          <w:p w14:paraId="02355CB0" w14:textId="77777777" w:rsidR="00055BFC" w:rsidRPr="00BF4724" w:rsidRDefault="00055BFC" w:rsidP="00B92127">
            <w:pPr>
              <w:pStyle w:val="Para1"/>
              <w:numPr>
                <w:ilvl w:val="0"/>
                <w:numId w:val="0"/>
              </w:numPr>
              <w:rPr>
                <w:noProof/>
                <w:lang w:val="cs-CZ"/>
              </w:rPr>
            </w:pPr>
            <w:r>
              <w:rPr>
                <w:noProof/>
                <w:lang w:val="en-US"/>
              </w:rPr>
              <w:drawing>
                <wp:inline distT="0" distB="0" distL="0" distR="0" wp14:anchorId="6FEA5AD7" wp14:editId="5B101B95">
                  <wp:extent cx="3123759" cy="1934276"/>
                  <wp:effectExtent l="0" t="0" r="635" b="8890"/>
                  <wp:docPr id="2100376896" name="Obrázek 1" descr="Obsah obrázku text, snímek obrazovky, číslo,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376896" name="Obrázek 1" descr="Obsah obrázku text, snímek obrazovky, číslo, řada/pruh&#10;&#10;Popis byl vytvořen automaticky"/>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131433" cy="1939028"/>
                          </a:xfrm>
                          <a:prstGeom prst="rect">
                            <a:avLst/>
                          </a:prstGeom>
                        </pic:spPr>
                      </pic:pic>
                    </a:graphicData>
                  </a:graphic>
                </wp:inline>
              </w:drawing>
            </w:r>
            <w:r>
              <w:rPr>
                <w:noProof/>
                <w:lang w:val="cs-CZ"/>
              </w:rPr>
              <w:t xml:space="preserve">    </w:t>
            </w:r>
            <w:r>
              <w:rPr>
                <w:noProof/>
                <w:lang w:val="en-US"/>
              </w:rPr>
              <w:drawing>
                <wp:inline distT="0" distB="0" distL="0" distR="0" wp14:anchorId="39825372" wp14:editId="40857617">
                  <wp:extent cx="2965193" cy="1933959"/>
                  <wp:effectExtent l="0" t="0" r="6985" b="9525"/>
                  <wp:docPr id="1604050109" name="Obrázek 2"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050109" name="Obrázek 2" descr="Obsah obrázku text, snímek obrazovky, číslo, Písmo&#10;&#10;Popis byl vytvořen automaticky"/>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986771" cy="1948033"/>
                          </a:xfrm>
                          <a:prstGeom prst="rect">
                            <a:avLst/>
                          </a:prstGeom>
                        </pic:spPr>
                      </pic:pic>
                    </a:graphicData>
                  </a:graphic>
                </wp:inline>
              </w:drawing>
            </w:r>
          </w:p>
        </w:tc>
      </w:tr>
      <w:tr w:rsidR="00055BFC" w:rsidRPr="00487076" w14:paraId="35E2C3F1" w14:textId="77777777" w:rsidTr="00B92127">
        <w:tblPrEx>
          <w:tblCellMar>
            <w:left w:w="108" w:type="dxa"/>
            <w:right w:w="108" w:type="dxa"/>
          </w:tblCellMar>
        </w:tblPrEx>
        <w:trPr>
          <w:trHeight w:val="51"/>
        </w:trPr>
        <w:tc>
          <w:tcPr>
            <w:tcW w:w="10371" w:type="dxa"/>
          </w:tcPr>
          <w:p w14:paraId="077F3361" w14:textId="77777777" w:rsidR="00055BFC" w:rsidRPr="00487076" w:rsidRDefault="00055BFC" w:rsidP="00B92127">
            <w:pPr>
              <w:pStyle w:val="Para1"/>
              <w:numPr>
                <w:ilvl w:val="0"/>
                <w:numId w:val="0"/>
              </w:numPr>
              <w:rPr>
                <w:noProof/>
              </w:rPr>
            </w:pPr>
          </w:p>
        </w:tc>
      </w:tr>
    </w:tbl>
    <w:p w14:paraId="5783B4C3" w14:textId="631D4986" w:rsidR="00055BFC" w:rsidRPr="00487076" w:rsidRDefault="00055BFC" w:rsidP="00055BFC">
      <w:pPr>
        <w:rPr>
          <w:rStyle w:val="FigureChar"/>
          <w:rFonts w:eastAsia="Calibri"/>
          <w:bCs/>
        </w:rPr>
      </w:pPr>
    </w:p>
    <w:p w14:paraId="72BA903A" w14:textId="77777777" w:rsidR="00055BFC" w:rsidRPr="00487076" w:rsidRDefault="00055BFC" w:rsidP="00055BFC">
      <w:pPr>
        <w:pStyle w:val="Para1"/>
        <w:numPr>
          <w:ilvl w:val="0"/>
          <w:numId w:val="0"/>
        </w:numPr>
        <w:ind w:left="720" w:hanging="11"/>
      </w:pPr>
      <w:r w:rsidRPr="00487076">
        <w:t>60.</w:t>
      </w:r>
      <w:r w:rsidRPr="00487076">
        <w:tab/>
      </w:r>
      <w:r>
        <w:t xml:space="preserve">УАР выделяет четыре типа целей: «стратегические»; «операционные»; «отчетность» и «соблюдение требований» — они основаны на системе, разработанной Комитетом организаций-спонсоров Комиссии </w:t>
      </w:r>
      <w:proofErr w:type="spellStart"/>
      <w:r>
        <w:t>Тредвея</w:t>
      </w:r>
      <w:proofErr w:type="spellEnd"/>
      <w:r>
        <w:t xml:space="preserve"> (COSO), модели отраслевого стандарта для организаций по оценке и внедрению внутреннего контроля. Под «стратегическими» целями понимаются цели высокого уровня, согласованные с миссией организации и поддерживающие ее, под «операционными» — выполнение экономичных, эффективных и результативных операций по сохранению ресурсов, под «отчетностью» — достоверность отчетности, а под «соблюдением требований» — соблюдение корпоративных норм, правил и процедур.</w:t>
      </w:r>
    </w:p>
    <w:p w14:paraId="7A3BF6C8" w14:textId="77777777" w:rsidR="00055BFC" w:rsidRPr="00487076" w:rsidRDefault="00055BFC" w:rsidP="00055BFC">
      <w:pPr>
        <w:pStyle w:val="Para1"/>
        <w:numPr>
          <w:ilvl w:val="0"/>
          <w:numId w:val="0"/>
        </w:numPr>
        <w:ind w:left="720" w:hanging="11"/>
      </w:pPr>
      <w:r w:rsidRPr="00487076">
        <w:t>61.</w:t>
      </w:r>
      <w:r w:rsidRPr="00487076">
        <w:tab/>
      </w:r>
      <w:r>
        <w:t>В разбивке по типам наблюдалось увеличение (пропорционально) проблем, касающихся «соблюдения требований», при этом «операционные» цели осталась самой многочисленной категорией. Структура по типам показала небольшое снижение (пропорционально) проблем, касающихся «операционных» целей и «отчетности», в 2024 году по сравнению с 2023 годом (см. рисунок 3 ниже).</w:t>
      </w:r>
    </w:p>
    <w:p w14:paraId="69773E48" w14:textId="77777777" w:rsidR="00055BFC" w:rsidRPr="00487076" w:rsidRDefault="00055BFC" w:rsidP="00055BFC">
      <w:pPr>
        <w:pStyle w:val="Figure"/>
        <w:spacing w:before="360" w:after="240"/>
        <w:ind w:left="1281" w:right="578"/>
      </w:pPr>
      <w:r>
        <w:t>Рисунок 3. Страновые и субрегиональные отделения — рекомендации по типам</w:t>
      </w:r>
    </w:p>
    <w:tbl>
      <w:tblPr>
        <w:tblStyle w:val="TableGrid"/>
        <w:tblW w:w="10359"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9"/>
      </w:tblGrid>
      <w:tr w:rsidR="00055BFC" w:rsidRPr="00487076" w14:paraId="0F975F58" w14:textId="77777777" w:rsidTr="00B92127">
        <w:trPr>
          <w:trHeight w:val="3671"/>
        </w:trPr>
        <w:tc>
          <w:tcPr>
            <w:tcW w:w="10359" w:type="dxa"/>
          </w:tcPr>
          <w:p w14:paraId="1E9D3217" w14:textId="77777777" w:rsidR="00055BFC" w:rsidRPr="00487076" w:rsidRDefault="00055BFC" w:rsidP="00B92127">
            <w:pPr>
              <w:pStyle w:val="Figure"/>
              <w:ind w:left="0" w:right="79"/>
              <w:jc w:val="left"/>
            </w:pPr>
            <w:r>
              <w:rPr>
                <w:noProof/>
                <w:lang w:val="en-US"/>
              </w:rPr>
              <w:drawing>
                <wp:inline distT="0" distB="0" distL="0" distR="0" wp14:anchorId="30AEBCEF" wp14:editId="3A92F624">
                  <wp:extent cx="2947830" cy="2017625"/>
                  <wp:effectExtent l="0" t="0" r="5080" b="1905"/>
                  <wp:docPr id="180823868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238686"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2947830" cy="2017625"/>
                          </a:xfrm>
                          <a:prstGeom prst="rect">
                            <a:avLst/>
                          </a:prstGeom>
                          <a:noFill/>
                        </pic:spPr>
                      </pic:pic>
                    </a:graphicData>
                  </a:graphic>
                </wp:inline>
              </w:drawing>
            </w:r>
            <w:r>
              <w:t xml:space="preserve">      </w:t>
            </w:r>
            <w:r>
              <w:rPr>
                <w:noProof/>
                <w:lang w:val="en-US"/>
              </w:rPr>
              <w:drawing>
                <wp:inline distT="0" distB="0" distL="0" distR="0" wp14:anchorId="32F98A56" wp14:editId="2A3CD51E">
                  <wp:extent cx="2849151" cy="2019935"/>
                  <wp:effectExtent l="0" t="0" r="8890" b="0"/>
                  <wp:docPr id="207691446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914461"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2853335" cy="2022901"/>
                          </a:xfrm>
                          <a:prstGeom prst="rect">
                            <a:avLst/>
                          </a:prstGeom>
                          <a:noFill/>
                        </pic:spPr>
                      </pic:pic>
                    </a:graphicData>
                  </a:graphic>
                </wp:inline>
              </w:drawing>
            </w:r>
          </w:p>
        </w:tc>
      </w:tr>
      <w:tr w:rsidR="00055BFC" w:rsidRPr="00487076" w14:paraId="2D6D1B7B" w14:textId="77777777" w:rsidTr="00B92127">
        <w:trPr>
          <w:trHeight w:val="60"/>
        </w:trPr>
        <w:tc>
          <w:tcPr>
            <w:tcW w:w="10359" w:type="dxa"/>
          </w:tcPr>
          <w:p w14:paraId="3D317548" w14:textId="77777777" w:rsidR="00055BFC" w:rsidRPr="00487076" w:rsidRDefault="00055BFC" w:rsidP="00B92127"/>
        </w:tc>
      </w:tr>
    </w:tbl>
    <w:p w14:paraId="4DC40CBC" w14:textId="77777777" w:rsidR="00055BFC" w:rsidRPr="00487076" w:rsidRDefault="00055BFC" w:rsidP="00055BFC">
      <w:pPr>
        <w:pStyle w:val="Para1"/>
        <w:numPr>
          <w:ilvl w:val="0"/>
          <w:numId w:val="0"/>
        </w:numPr>
        <w:ind w:left="720" w:hanging="11"/>
      </w:pPr>
    </w:p>
    <w:p w14:paraId="4D8762D4" w14:textId="77777777" w:rsidR="00055BFC" w:rsidRPr="00487076" w:rsidRDefault="00055BFC" w:rsidP="00055BFC">
      <w:pPr>
        <w:pStyle w:val="Para1"/>
        <w:numPr>
          <w:ilvl w:val="0"/>
          <w:numId w:val="0"/>
        </w:numPr>
        <w:ind w:left="720" w:hanging="11"/>
      </w:pPr>
      <w:r w:rsidRPr="00487076">
        <w:t>62.</w:t>
      </w:r>
      <w:r w:rsidRPr="00487076">
        <w:tab/>
      </w:r>
      <w:r>
        <w:t>Недостаточное «руководство» оставалось основной причиной проблем, за ним следуют недостаточные «ресурсы» (людские или финансовые, включая обучение), величина которых повысилась в 2024 году. Как и в предыдущем году, «Руководящие принципы» (отсутствие политик или их неадекватность) заняли третье место, однако в 2024 году их доля несколько увеличилась. Доля «ошибок» (человеческих или преднамеренных) и «других факторов, не зависящих от ЮНФПА» в 2024 году уменьшилась (пропорционально) (см. рисунок 4 ниже). В рамках регулярного анализа первопричин УАР продолжит изучать причины проблем, выявляемых в ходе аудита.</w:t>
      </w:r>
    </w:p>
    <w:p w14:paraId="5DE74418" w14:textId="77777777" w:rsidR="00055BFC" w:rsidRPr="00487076" w:rsidRDefault="00055BFC" w:rsidP="00055BFC">
      <w:pPr>
        <w:pStyle w:val="Figure"/>
        <w:spacing w:before="360" w:after="240"/>
        <w:ind w:left="1281" w:right="578"/>
      </w:pPr>
      <w:r>
        <w:t>Рисунок 4. Страновые и субрегиональные отделения — рекомендации по причинам</w:t>
      </w:r>
    </w:p>
    <w:tbl>
      <w:tblPr>
        <w:tblStyle w:val="TableGrid"/>
        <w:tblW w:w="10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4"/>
      </w:tblGrid>
      <w:tr w:rsidR="00055BFC" w:rsidRPr="00487076" w14:paraId="1500EB6D" w14:textId="77777777" w:rsidTr="00B92127">
        <w:trPr>
          <w:trHeight w:val="3312"/>
        </w:trPr>
        <w:tc>
          <w:tcPr>
            <w:tcW w:w="10954" w:type="dxa"/>
          </w:tcPr>
          <w:p w14:paraId="0C2C27D6" w14:textId="77777777" w:rsidR="00055BFC" w:rsidRPr="00487076" w:rsidRDefault="00055BFC" w:rsidP="00B92127">
            <w:pPr>
              <w:pStyle w:val="Figure"/>
              <w:pBdr>
                <w:top w:val="none" w:sz="0" w:space="0" w:color="auto"/>
                <w:left w:val="none" w:sz="0" w:space="0" w:color="auto"/>
                <w:bottom w:val="none" w:sz="0" w:space="0" w:color="auto"/>
                <w:right w:val="none" w:sz="0" w:space="0" w:color="auto"/>
                <w:between w:val="none" w:sz="0" w:space="0" w:color="auto"/>
              </w:pBdr>
              <w:ind w:left="0" w:right="0"/>
              <w:jc w:val="left"/>
            </w:pPr>
            <w:r>
              <w:rPr>
                <w:noProof/>
                <w:lang w:val="en-US"/>
              </w:rPr>
              <w:drawing>
                <wp:inline distT="0" distB="0" distL="0" distR="0" wp14:anchorId="7AC8AB7F" wp14:editId="3F79D8F8">
                  <wp:extent cx="3046021" cy="1944784"/>
                  <wp:effectExtent l="0" t="0" r="2540" b="0"/>
                  <wp:docPr id="792959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594" name="Picture 25"/>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3054836" cy="1950412"/>
                          </a:xfrm>
                          <a:prstGeom prst="rect">
                            <a:avLst/>
                          </a:prstGeom>
                          <a:noFill/>
                        </pic:spPr>
                      </pic:pic>
                    </a:graphicData>
                  </a:graphic>
                </wp:inline>
              </w:drawing>
            </w:r>
            <w:r>
              <w:t xml:space="preserve">   </w:t>
            </w:r>
            <w:r>
              <w:rPr>
                <w:noProof/>
                <w:lang w:val="en-US"/>
              </w:rPr>
              <w:drawing>
                <wp:inline distT="0" distB="0" distL="0" distR="0" wp14:anchorId="5B4F540B" wp14:editId="25A4D486">
                  <wp:extent cx="3111335" cy="1940581"/>
                  <wp:effectExtent l="0" t="0" r="0" b="2540"/>
                  <wp:docPr id="9648487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84870"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3128476" cy="1951272"/>
                          </a:xfrm>
                          <a:prstGeom prst="rect">
                            <a:avLst/>
                          </a:prstGeom>
                          <a:noFill/>
                        </pic:spPr>
                      </pic:pic>
                    </a:graphicData>
                  </a:graphic>
                </wp:inline>
              </w:drawing>
            </w:r>
          </w:p>
        </w:tc>
      </w:tr>
      <w:tr w:rsidR="00055BFC" w:rsidRPr="00487076" w14:paraId="451807D7" w14:textId="77777777" w:rsidTr="00B92127">
        <w:trPr>
          <w:trHeight w:val="720"/>
        </w:trPr>
        <w:tc>
          <w:tcPr>
            <w:tcW w:w="10954" w:type="dxa"/>
          </w:tcPr>
          <w:p w14:paraId="5F546E4A" w14:textId="77777777" w:rsidR="00055BFC" w:rsidRPr="00487076" w:rsidRDefault="00055BFC" w:rsidP="00B92127"/>
        </w:tc>
      </w:tr>
    </w:tbl>
    <w:p w14:paraId="45F19FB8" w14:textId="77777777" w:rsidR="00055BFC" w:rsidRPr="00487076" w:rsidRDefault="00055BFC" w:rsidP="00055BFC">
      <w:pPr>
        <w:pStyle w:val="Para1"/>
        <w:numPr>
          <w:ilvl w:val="0"/>
          <w:numId w:val="0"/>
        </w:numPr>
        <w:ind w:left="720" w:hanging="11"/>
      </w:pPr>
      <w:r w:rsidRPr="00487076">
        <w:t>63.</w:t>
      </w:r>
      <w:r w:rsidRPr="00487076">
        <w:tab/>
      </w:r>
      <w:r>
        <w:t xml:space="preserve">В 2024 году аудит региональных отделений не проводился. </w:t>
      </w:r>
    </w:p>
    <w:p w14:paraId="61891CCD" w14:textId="77777777" w:rsidR="00055BFC" w:rsidRPr="00487076" w:rsidRDefault="00055BFC" w:rsidP="00055BFC">
      <w:pPr>
        <w:pStyle w:val="Para1"/>
        <w:numPr>
          <w:ilvl w:val="0"/>
          <w:numId w:val="0"/>
        </w:numPr>
        <w:ind w:left="720" w:hanging="11"/>
      </w:pPr>
      <w:r w:rsidRPr="00487076">
        <w:t>64.</w:t>
      </w:r>
      <w:r w:rsidRPr="00487076">
        <w:tab/>
      </w:r>
      <w:r>
        <w:t>Остальные 27 из 205 рекомендаций, вынесенных в 2024 году, касались аудита бизнес-процессов, где не удалось установить закономерности из-за уникального характера проверяемых отраслей и аудиторских процедур, применяемых в каждом случае.</w:t>
      </w:r>
    </w:p>
    <w:p w14:paraId="6422BED6" w14:textId="77777777" w:rsidR="00055BFC" w:rsidRPr="00487076" w:rsidRDefault="00055BFC" w:rsidP="00055BFC">
      <w:pPr>
        <w:pStyle w:val="HeadA"/>
        <w:numPr>
          <w:ilvl w:val="0"/>
          <w:numId w:val="0"/>
        </w:numPr>
        <w:ind w:left="734" w:hanging="590"/>
      </w:pPr>
      <w:bookmarkStart w:id="36" w:name="_Toc196833159"/>
      <w:r w:rsidRPr="00487076">
        <w:t>C.</w:t>
      </w:r>
      <w:r w:rsidRPr="00487076">
        <w:tab/>
      </w:r>
      <w:r>
        <w:t>Выполнение рекомендаций внутреннего аудита</w:t>
      </w:r>
      <w:bookmarkEnd w:id="36"/>
    </w:p>
    <w:p w14:paraId="23FFF3D5" w14:textId="77777777" w:rsidR="00055BFC" w:rsidRPr="00487076" w:rsidRDefault="00055BFC" w:rsidP="00055BFC">
      <w:pPr>
        <w:pStyle w:val="Para1"/>
        <w:numPr>
          <w:ilvl w:val="0"/>
          <w:numId w:val="0"/>
        </w:numPr>
        <w:ind w:left="720" w:hanging="11"/>
      </w:pPr>
      <w:r w:rsidRPr="00487076">
        <w:t>65.</w:t>
      </w:r>
      <w:r w:rsidRPr="00487076">
        <w:tab/>
      </w:r>
      <w:r>
        <w:t xml:space="preserve">Уровень выполнения рекомендаций внутреннего аудита, вынесенных до 2024 года, составлял 92 процента (78 процентов в 2023 году). 80 процентов рекомендаций, вынесенных в 2024 году, должны быть выполнены в 2025 и 2026 годах. Руководство ЮНФПА согласилось со всеми замечаниями и рекомендациями внутреннего аудита в отчетах за 2024 год. </w:t>
      </w:r>
    </w:p>
    <w:p w14:paraId="2D39EEEC" w14:textId="77777777" w:rsidR="00055BFC" w:rsidRPr="00487076" w:rsidRDefault="00055BFC" w:rsidP="00055BFC">
      <w:pPr>
        <w:pStyle w:val="Para1"/>
        <w:numPr>
          <w:ilvl w:val="0"/>
          <w:numId w:val="0"/>
        </w:numPr>
        <w:ind w:left="720" w:hanging="11"/>
      </w:pPr>
      <w:r w:rsidRPr="00487076">
        <w:t>66.</w:t>
      </w:r>
      <w:r w:rsidRPr="00487076">
        <w:tab/>
      </w:r>
      <w:r>
        <w:t>Две рекомендации, относящиеся к отчету об аудите бизнес-процессов, выпущенному в 2022 году, были закрыты в 2024 году на основании принятия руководством риска. Руководство указало, что одна из рекомендаций, имеющая высокий приоритет и касающаяся увязки командировок с мероприятиями рабочего плана в системе планирования ресурсов предприятия, не может быть выполнена, поскольку эта функция выходит за рамки модуля управления командировками, а существующие механизмы контроля за утверждением командировок уже позволяют минимизировать соответствующие риски. В отношении другой рекомендации, имеющей средний приоритет и касающейся повышения прозрачности процесса оформления командировок путем настройки модуля совместного управления поездками с другими учреждениями, использующими одну систему планирования ресурсов предприятия, руководство указало, что ее осуществление не представляется возможным и что существующие выполняемые вручную процессы надлежащим образом учитывают риски, выявленные в ходе аудита.</w:t>
      </w:r>
    </w:p>
    <w:p w14:paraId="228FA496" w14:textId="77777777" w:rsidR="00055BFC" w:rsidRPr="00487076" w:rsidRDefault="00055BFC" w:rsidP="00055BFC">
      <w:pPr>
        <w:pStyle w:val="Para1"/>
        <w:numPr>
          <w:ilvl w:val="0"/>
          <w:numId w:val="0"/>
        </w:numPr>
        <w:ind w:left="720" w:hanging="11"/>
      </w:pPr>
      <w:r w:rsidRPr="00487076">
        <w:t>67.</w:t>
      </w:r>
      <w:r w:rsidRPr="00487076">
        <w:tab/>
      </w:r>
      <w:r>
        <w:t>Как показано в таблице 4, существует три просроченные рекомендации по аудиту (15 в 2023 году)</w:t>
      </w:r>
      <w:r w:rsidRPr="00487076">
        <w:rPr>
          <w:vertAlign w:val="superscript"/>
        </w:rPr>
        <w:footnoteReference w:id="14"/>
      </w:r>
      <w:r>
        <w:t xml:space="preserve"> давностью более 18 месяцев. Три рекомендации были высокоприоритетными и касались аудита страновых отделений. Подробная информация о просроченных рекомендациях приведена в приложении 8. </w:t>
      </w:r>
    </w:p>
    <w:p w14:paraId="7BA9C197" w14:textId="77777777" w:rsidR="00055BFC" w:rsidRPr="00487076" w:rsidRDefault="00055BFC" w:rsidP="00055BFC">
      <w:pPr>
        <w:pStyle w:val="Figure"/>
        <w:keepLines/>
        <w:spacing w:before="360"/>
        <w:ind w:left="1281" w:right="578"/>
      </w:pPr>
      <w:r>
        <w:t>Таблица 4. Устаревание рекомендаций по состоянию на 31 декабря 2024 года</w:t>
      </w:r>
    </w:p>
    <w:tbl>
      <w:tblPr>
        <w:tblW w:w="9090" w:type="dxa"/>
        <w:tblInd w:w="715" w:type="dxa"/>
        <w:tblLayout w:type="fixed"/>
        <w:tblLook w:val="04A0" w:firstRow="1" w:lastRow="0" w:firstColumn="1" w:lastColumn="0" w:noHBand="0" w:noVBand="1"/>
      </w:tblPr>
      <w:tblGrid>
        <w:gridCol w:w="3330"/>
        <w:gridCol w:w="1710"/>
        <w:gridCol w:w="1260"/>
        <w:gridCol w:w="1350"/>
        <w:gridCol w:w="1440"/>
      </w:tblGrid>
      <w:tr w:rsidR="00055BFC" w:rsidRPr="00487076" w14:paraId="32119010" w14:textId="77777777" w:rsidTr="00B92127">
        <w:trPr>
          <w:trHeight w:val="510"/>
        </w:trPr>
        <w:tc>
          <w:tcPr>
            <w:tcW w:w="333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74B96A" w14:textId="77777777" w:rsidR="00055BFC" w:rsidRPr="00487076" w:rsidRDefault="00055BFC" w:rsidP="00B92127">
            <w:pPr>
              <w:keepNext/>
              <w:keepLines/>
              <w:spacing w:line="240" w:lineRule="auto"/>
              <w:rPr>
                <w:rFonts w:eastAsia="Times New Roman"/>
                <w:b/>
                <w:bCs/>
                <w:color w:val="000000"/>
                <w:sz w:val="18"/>
                <w:szCs w:val="18"/>
              </w:rPr>
            </w:pPr>
            <w:r>
              <w:rPr>
                <w:b/>
                <w:color w:val="000000"/>
                <w:sz w:val="18"/>
              </w:rPr>
              <w:t>Приоритет</w:t>
            </w:r>
          </w:p>
        </w:tc>
        <w:tc>
          <w:tcPr>
            <w:tcW w:w="1710" w:type="dxa"/>
            <w:tcBorders>
              <w:top w:val="single" w:sz="4" w:space="0" w:color="auto"/>
              <w:left w:val="nil"/>
              <w:bottom w:val="single" w:sz="4" w:space="0" w:color="auto"/>
              <w:right w:val="single" w:sz="4" w:space="0" w:color="auto"/>
            </w:tcBorders>
            <w:shd w:val="clear" w:color="000000" w:fill="D9D9D9"/>
            <w:vAlign w:val="center"/>
            <w:hideMark/>
          </w:tcPr>
          <w:p w14:paraId="2AF9DF37" w14:textId="77777777" w:rsidR="00055BFC" w:rsidRPr="00487076" w:rsidRDefault="00055BFC" w:rsidP="00B92127">
            <w:pPr>
              <w:keepNext/>
              <w:keepLines/>
              <w:spacing w:line="240" w:lineRule="auto"/>
              <w:jc w:val="center"/>
              <w:rPr>
                <w:rFonts w:eastAsia="Times New Roman"/>
                <w:b/>
                <w:bCs/>
                <w:color w:val="000000"/>
                <w:sz w:val="18"/>
                <w:szCs w:val="18"/>
              </w:rPr>
            </w:pPr>
            <w:r>
              <w:rPr>
                <w:b/>
                <w:color w:val="000000"/>
                <w:sz w:val="18"/>
              </w:rPr>
              <w:t>Всего рекомендаций не выполнено</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4EF5144D" w14:textId="77777777" w:rsidR="00055BFC" w:rsidRPr="00487076" w:rsidRDefault="00055BFC" w:rsidP="00B92127">
            <w:pPr>
              <w:keepNext/>
              <w:keepLines/>
              <w:spacing w:line="240" w:lineRule="auto"/>
              <w:jc w:val="center"/>
              <w:rPr>
                <w:rFonts w:eastAsia="Times New Roman"/>
                <w:b/>
                <w:bCs/>
                <w:color w:val="000000"/>
                <w:sz w:val="18"/>
                <w:szCs w:val="18"/>
              </w:rPr>
            </w:pPr>
            <w:r>
              <w:rPr>
                <w:b/>
                <w:color w:val="000000"/>
                <w:sz w:val="18"/>
              </w:rPr>
              <w:t>&lt;12 месяцев</w:t>
            </w:r>
          </w:p>
        </w:tc>
        <w:tc>
          <w:tcPr>
            <w:tcW w:w="1350" w:type="dxa"/>
            <w:tcBorders>
              <w:top w:val="single" w:sz="4" w:space="0" w:color="auto"/>
              <w:left w:val="nil"/>
              <w:bottom w:val="single" w:sz="4" w:space="0" w:color="auto"/>
              <w:right w:val="single" w:sz="4" w:space="0" w:color="auto"/>
            </w:tcBorders>
            <w:shd w:val="clear" w:color="000000" w:fill="D9D9D9"/>
            <w:vAlign w:val="center"/>
            <w:hideMark/>
          </w:tcPr>
          <w:p w14:paraId="2B18A737" w14:textId="77777777" w:rsidR="00055BFC" w:rsidRPr="00487076" w:rsidRDefault="00055BFC" w:rsidP="00B92127">
            <w:pPr>
              <w:keepNext/>
              <w:keepLines/>
              <w:spacing w:line="240" w:lineRule="auto"/>
              <w:jc w:val="center"/>
              <w:rPr>
                <w:rFonts w:eastAsia="Times New Roman"/>
                <w:b/>
                <w:bCs/>
                <w:color w:val="000000"/>
                <w:sz w:val="18"/>
                <w:szCs w:val="18"/>
              </w:rPr>
            </w:pPr>
            <w:proofErr w:type="gramStart"/>
            <w:r>
              <w:rPr>
                <w:b/>
                <w:color w:val="000000"/>
                <w:sz w:val="18"/>
              </w:rPr>
              <w:t>12-18</w:t>
            </w:r>
            <w:proofErr w:type="gramEnd"/>
            <w:r>
              <w:rPr>
                <w:b/>
                <w:color w:val="000000"/>
                <w:sz w:val="18"/>
              </w:rPr>
              <w:t xml:space="preserve"> месяцев</w:t>
            </w:r>
          </w:p>
        </w:tc>
        <w:tc>
          <w:tcPr>
            <w:tcW w:w="1440" w:type="dxa"/>
            <w:tcBorders>
              <w:top w:val="single" w:sz="4" w:space="0" w:color="auto"/>
              <w:left w:val="nil"/>
              <w:bottom w:val="single" w:sz="4" w:space="0" w:color="auto"/>
              <w:right w:val="single" w:sz="4" w:space="0" w:color="auto"/>
            </w:tcBorders>
            <w:shd w:val="clear" w:color="000000" w:fill="D9D9D9"/>
            <w:vAlign w:val="center"/>
            <w:hideMark/>
          </w:tcPr>
          <w:p w14:paraId="6BD3A944" w14:textId="77777777" w:rsidR="00055BFC" w:rsidRPr="00487076" w:rsidRDefault="00055BFC" w:rsidP="00B92127">
            <w:pPr>
              <w:keepNext/>
              <w:keepLines/>
              <w:spacing w:line="240" w:lineRule="auto"/>
              <w:jc w:val="center"/>
              <w:rPr>
                <w:rFonts w:eastAsia="Times New Roman"/>
                <w:b/>
                <w:bCs/>
                <w:color w:val="000000"/>
                <w:sz w:val="18"/>
                <w:szCs w:val="18"/>
              </w:rPr>
            </w:pPr>
            <w:r>
              <w:rPr>
                <w:b/>
                <w:color w:val="000000"/>
                <w:sz w:val="18"/>
              </w:rPr>
              <w:t>&gt;18 месяцев</w:t>
            </w:r>
          </w:p>
        </w:tc>
      </w:tr>
      <w:tr w:rsidR="00055BFC" w:rsidRPr="00487076" w14:paraId="62F2E2C3" w14:textId="77777777" w:rsidTr="00B92127">
        <w:trPr>
          <w:trHeight w:val="255"/>
        </w:trPr>
        <w:tc>
          <w:tcPr>
            <w:tcW w:w="3330" w:type="dxa"/>
            <w:tcBorders>
              <w:top w:val="nil"/>
              <w:left w:val="single" w:sz="8" w:space="0" w:color="auto"/>
              <w:bottom w:val="single" w:sz="8" w:space="0" w:color="auto"/>
              <w:right w:val="single" w:sz="8" w:space="0" w:color="auto"/>
            </w:tcBorders>
            <w:shd w:val="clear" w:color="auto" w:fill="auto"/>
            <w:noWrap/>
            <w:vAlign w:val="center"/>
            <w:hideMark/>
          </w:tcPr>
          <w:p w14:paraId="66D0811D" w14:textId="77777777" w:rsidR="00055BFC" w:rsidRPr="00487076" w:rsidRDefault="00055BFC" w:rsidP="00B92127">
            <w:pPr>
              <w:keepNext/>
              <w:keepLines/>
              <w:spacing w:line="240" w:lineRule="auto"/>
              <w:rPr>
                <w:rFonts w:eastAsia="Times New Roman"/>
                <w:color w:val="000000"/>
                <w:sz w:val="18"/>
                <w:szCs w:val="18"/>
              </w:rPr>
            </w:pPr>
            <w:r>
              <w:rPr>
                <w:color w:val="000000"/>
                <w:sz w:val="18"/>
              </w:rPr>
              <w:t>Высокий</w:t>
            </w:r>
          </w:p>
        </w:tc>
        <w:tc>
          <w:tcPr>
            <w:tcW w:w="1710" w:type="dxa"/>
            <w:tcBorders>
              <w:top w:val="nil"/>
              <w:left w:val="nil"/>
              <w:bottom w:val="single" w:sz="8" w:space="0" w:color="auto"/>
              <w:right w:val="single" w:sz="8" w:space="0" w:color="auto"/>
            </w:tcBorders>
            <w:shd w:val="clear" w:color="auto" w:fill="auto"/>
            <w:noWrap/>
            <w:vAlign w:val="center"/>
            <w:hideMark/>
          </w:tcPr>
          <w:p w14:paraId="67F6246D" w14:textId="77777777" w:rsidR="00055BFC" w:rsidRPr="00487076" w:rsidRDefault="00055BFC" w:rsidP="00B92127">
            <w:pPr>
              <w:keepNext/>
              <w:keepLines/>
              <w:spacing w:line="240" w:lineRule="auto"/>
              <w:jc w:val="center"/>
              <w:rPr>
                <w:rFonts w:eastAsia="Times New Roman"/>
                <w:color w:val="000000"/>
                <w:sz w:val="18"/>
                <w:szCs w:val="18"/>
              </w:rPr>
            </w:pPr>
            <w:r>
              <w:rPr>
                <w:color w:val="000000"/>
                <w:sz w:val="18"/>
              </w:rPr>
              <w:t>94</w:t>
            </w:r>
          </w:p>
        </w:tc>
        <w:tc>
          <w:tcPr>
            <w:tcW w:w="1260" w:type="dxa"/>
            <w:tcBorders>
              <w:top w:val="nil"/>
              <w:left w:val="nil"/>
              <w:bottom w:val="single" w:sz="8" w:space="0" w:color="auto"/>
              <w:right w:val="single" w:sz="8" w:space="0" w:color="auto"/>
            </w:tcBorders>
            <w:shd w:val="clear" w:color="auto" w:fill="auto"/>
            <w:noWrap/>
            <w:vAlign w:val="center"/>
            <w:hideMark/>
          </w:tcPr>
          <w:p w14:paraId="68E06334" w14:textId="77777777" w:rsidR="00055BFC" w:rsidRPr="00487076" w:rsidRDefault="00055BFC" w:rsidP="00B92127">
            <w:pPr>
              <w:keepNext/>
              <w:keepLines/>
              <w:spacing w:line="240" w:lineRule="auto"/>
              <w:jc w:val="center"/>
              <w:rPr>
                <w:rFonts w:eastAsia="Times New Roman"/>
                <w:color w:val="000000"/>
                <w:sz w:val="18"/>
                <w:szCs w:val="18"/>
              </w:rPr>
            </w:pPr>
            <w:r>
              <w:rPr>
                <w:color w:val="000000"/>
                <w:sz w:val="18"/>
              </w:rPr>
              <w:t>70</w:t>
            </w:r>
          </w:p>
        </w:tc>
        <w:tc>
          <w:tcPr>
            <w:tcW w:w="1350" w:type="dxa"/>
            <w:tcBorders>
              <w:top w:val="nil"/>
              <w:left w:val="nil"/>
              <w:bottom w:val="single" w:sz="8" w:space="0" w:color="auto"/>
              <w:right w:val="single" w:sz="8" w:space="0" w:color="auto"/>
            </w:tcBorders>
            <w:shd w:val="clear" w:color="auto" w:fill="auto"/>
            <w:noWrap/>
            <w:vAlign w:val="center"/>
            <w:hideMark/>
          </w:tcPr>
          <w:p w14:paraId="034ABA87" w14:textId="77777777" w:rsidR="00055BFC" w:rsidRPr="00487076" w:rsidRDefault="00055BFC" w:rsidP="00B92127">
            <w:pPr>
              <w:keepNext/>
              <w:keepLines/>
              <w:spacing w:line="240" w:lineRule="auto"/>
              <w:jc w:val="center"/>
              <w:rPr>
                <w:rFonts w:eastAsia="Times New Roman"/>
                <w:color w:val="000000"/>
                <w:sz w:val="18"/>
                <w:szCs w:val="18"/>
              </w:rPr>
            </w:pPr>
            <w:r>
              <w:rPr>
                <w:color w:val="000000"/>
                <w:sz w:val="18"/>
              </w:rPr>
              <w:t>21</w:t>
            </w:r>
          </w:p>
        </w:tc>
        <w:tc>
          <w:tcPr>
            <w:tcW w:w="1440" w:type="dxa"/>
            <w:tcBorders>
              <w:top w:val="nil"/>
              <w:left w:val="nil"/>
              <w:bottom w:val="single" w:sz="8" w:space="0" w:color="auto"/>
              <w:right w:val="single" w:sz="8" w:space="0" w:color="auto"/>
            </w:tcBorders>
            <w:shd w:val="clear" w:color="auto" w:fill="auto"/>
            <w:noWrap/>
            <w:vAlign w:val="center"/>
            <w:hideMark/>
          </w:tcPr>
          <w:p w14:paraId="64E29173" w14:textId="77777777" w:rsidR="00055BFC" w:rsidRPr="00487076" w:rsidRDefault="00055BFC" w:rsidP="00B92127">
            <w:pPr>
              <w:keepNext/>
              <w:keepLines/>
              <w:spacing w:line="240" w:lineRule="auto"/>
              <w:jc w:val="center"/>
              <w:rPr>
                <w:rFonts w:eastAsia="Times New Roman"/>
                <w:color w:val="000000"/>
                <w:sz w:val="18"/>
                <w:szCs w:val="18"/>
              </w:rPr>
            </w:pPr>
            <w:r>
              <w:rPr>
                <w:color w:val="000000"/>
                <w:sz w:val="18"/>
              </w:rPr>
              <w:t>3</w:t>
            </w:r>
          </w:p>
        </w:tc>
      </w:tr>
      <w:tr w:rsidR="00055BFC" w:rsidRPr="00487076" w14:paraId="2C26BF38" w14:textId="77777777" w:rsidTr="00B92127">
        <w:trPr>
          <w:trHeight w:val="255"/>
        </w:trPr>
        <w:tc>
          <w:tcPr>
            <w:tcW w:w="3330" w:type="dxa"/>
            <w:tcBorders>
              <w:top w:val="nil"/>
              <w:left w:val="single" w:sz="8" w:space="0" w:color="auto"/>
              <w:bottom w:val="single" w:sz="8" w:space="0" w:color="auto"/>
              <w:right w:val="single" w:sz="8" w:space="0" w:color="auto"/>
            </w:tcBorders>
            <w:shd w:val="clear" w:color="auto" w:fill="auto"/>
            <w:noWrap/>
            <w:vAlign w:val="center"/>
            <w:hideMark/>
          </w:tcPr>
          <w:p w14:paraId="1AF23898" w14:textId="77777777" w:rsidR="00055BFC" w:rsidRPr="00487076" w:rsidRDefault="00055BFC" w:rsidP="00B92127">
            <w:pPr>
              <w:keepNext/>
              <w:keepLines/>
              <w:spacing w:line="240" w:lineRule="auto"/>
              <w:rPr>
                <w:rFonts w:eastAsia="Times New Roman"/>
                <w:color w:val="000000"/>
                <w:sz w:val="18"/>
                <w:szCs w:val="18"/>
              </w:rPr>
            </w:pPr>
            <w:r>
              <w:rPr>
                <w:color w:val="000000"/>
                <w:sz w:val="18"/>
              </w:rPr>
              <w:t>Средний</w:t>
            </w:r>
          </w:p>
        </w:tc>
        <w:tc>
          <w:tcPr>
            <w:tcW w:w="1710" w:type="dxa"/>
            <w:tcBorders>
              <w:top w:val="nil"/>
              <w:left w:val="nil"/>
              <w:bottom w:val="single" w:sz="8" w:space="0" w:color="auto"/>
              <w:right w:val="single" w:sz="8" w:space="0" w:color="auto"/>
            </w:tcBorders>
            <w:shd w:val="clear" w:color="auto" w:fill="auto"/>
            <w:noWrap/>
            <w:vAlign w:val="center"/>
            <w:hideMark/>
          </w:tcPr>
          <w:p w14:paraId="5971EC52" w14:textId="77777777" w:rsidR="00055BFC" w:rsidRPr="00487076" w:rsidRDefault="00055BFC" w:rsidP="00B92127">
            <w:pPr>
              <w:keepNext/>
              <w:keepLines/>
              <w:spacing w:line="240" w:lineRule="auto"/>
              <w:jc w:val="center"/>
              <w:rPr>
                <w:rFonts w:eastAsia="Times New Roman"/>
                <w:color w:val="000000"/>
                <w:sz w:val="18"/>
                <w:szCs w:val="18"/>
              </w:rPr>
            </w:pPr>
            <w:r>
              <w:rPr>
                <w:color w:val="000000"/>
                <w:sz w:val="18"/>
              </w:rPr>
              <w:t>109</w:t>
            </w:r>
          </w:p>
        </w:tc>
        <w:tc>
          <w:tcPr>
            <w:tcW w:w="1260" w:type="dxa"/>
            <w:tcBorders>
              <w:top w:val="nil"/>
              <w:left w:val="nil"/>
              <w:bottom w:val="single" w:sz="8" w:space="0" w:color="auto"/>
              <w:right w:val="single" w:sz="8" w:space="0" w:color="auto"/>
            </w:tcBorders>
            <w:shd w:val="clear" w:color="auto" w:fill="auto"/>
            <w:noWrap/>
            <w:vAlign w:val="center"/>
            <w:hideMark/>
          </w:tcPr>
          <w:p w14:paraId="0283DC1C" w14:textId="77777777" w:rsidR="00055BFC" w:rsidRPr="00487076" w:rsidRDefault="00055BFC" w:rsidP="00B92127">
            <w:pPr>
              <w:keepNext/>
              <w:keepLines/>
              <w:spacing w:line="240" w:lineRule="auto"/>
              <w:jc w:val="center"/>
              <w:rPr>
                <w:rFonts w:eastAsia="Times New Roman"/>
                <w:color w:val="000000"/>
                <w:sz w:val="18"/>
                <w:szCs w:val="18"/>
              </w:rPr>
            </w:pPr>
            <w:r>
              <w:rPr>
                <w:color w:val="000000"/>
                <w:sz w:val="18"/>
              </w:rPr>
              <w:t>100</w:t>
            </w:r>
          </w:p>
        </w:tc>
        <w:tc>
          <w:tcPr>
            <w:tcW w:w="1350" w:type="dxa"/>
            <w:tcBorders>
              <w:top w:val="nil"/>
              <w:left w:val="nil"/>
              <w:bottom w:val="single" w:sz="8" w:space="0" w:color="auto"/>
              <w:right w:val="single" w:sz="8" w:space="0" w:color="auto"/>
            </w:tcBorders>
            <w:shd w:val="clear" w:color="auto" w:fill="auto"/>
            <w:noWrap/>
            <w:vAlign w:val="center"/>
            <w:hideMark/>
          </w:tcPr>
          <w:p w14:paraId="179FDB3E" w14:textId="77777777" w:rsidR="00055BFC" w:rsidRPr="00487076" w:rsidRDefault="00055BFC" w:rsidP="00B92127">
            <w:pPr>
              <w:keepNext/>
              <w:keepLines/>
              <w:spacing w:line="240" w:lineRule="auto"/>
              <w:jc w:val="center"/>
              <w:rPr>
                <w:rFonts w:eastAsia="Times New Roman"/>
                <w:color w:val="000000"/>
                <w:sz w:val="18"/>
                <w:szCs w:val="18"/>
              </w:rPr>
            </w:pPr>
            <w:r>
              <w:rPr>
                <w:color w:val="000000"/>
                <w:sz w:val="18"/>
              </w:rPr>
              <w:t>9</w:t>
            </w:r>
          </w:p>
        </w:tc>
        <w:tc>
          <w:tcPr>
            <w:tcW w:w="1440" w:type="dxa"/>
            <w:tcBorders>
              <w:top w:val="nil"/>
              <w:left w:val="nil"/>
              <w:bottom w:val="single" w:sz="8" w:space="0" w:color="auto"/>
              <w:right w:val="single" w:sz="8" w:space="0" w:color="auto"/>
            </w:tcBorders>
            <w:shd w:val="clear" w:color="auto" w:fill="auto"/>
            <w:noWrap/>
            <w:vAlign w:val="center"/>
            <w:hideMark/>
          </w:tcPr>
          <w:p w14:paraId="6AAA8E6C" w14:textId="77777777" w:rsidR="00055BFC" w:rsidRPr="00487076" w:rsidRDefault="00055BFC" w:rsidP="00B92127">
            <w:pPr>
              <w:keepNext/>
              <w:keepLines/>
              <w:spacing w:line="240" w:lineRule="auto"/>
              <w:jc w:val="center"/>
              <w:rPr>
                <w:rFonts w:eastAsia="Times New Roman"/>
                <w:color w:val="000000"/>
                <w:sz w:val="18"/>
                <w:szCs w:val="18"/>
              </w:rPr>
            </w:pPr>
            <w:r>
              <w:rPr>
                <w:color w:val="000000"/>
                <w:sz w:val="18"/>
              </w:rPr>
              <w:t>—</w:t>
            </w:r>
          </w:p>
        </w:tc>
      </w:tr>
      <w:tr w:rsidR="00055BFC" w:rsidRPr="00487076" w14:paraId="677D035C" w14:textId="77777777" w:rsidTr="00B92127">
        <w:trPr>
          <w:trHeight w:val="255"/>
        </w:trPr>
        <w:tc>
          <w:tcPr>
            <w:tcW w:w="3330" w:type="dxa"/>
            <w:tcBorders>
              <w:top w:val="nil"/>
              <w:left w:val="single" w:sz="8" w:space="0" w:color="auto"/>
              <w:bottom w:val="single" w:sz="8" w:space="0" w:color="auto"/>
              <w:right w:val="single" w:sz="8" w:space="0" w:color="auto"/>
            </w:tcBorders>
            <w:shd w:val="clear" w:color="auto" w:fill="auto"/>
            <w:noWrap/>
            <w:vAlign w:val="center"/>
            <w:hideMark/>
          </w:tcPr>
          <w:p w14:paraId="65829617" w14:textId="77777777" w:rsidR="00055BFC" w:rsidRPr="00487076" w:rsidRDefault="00055BFC" w:rsidP="00B92127">
            <w:pPr>
              <w:keepNext/>
              <w:keepLines/>
              <w:spacing w:line="240" w:lineRule="auto"/>
              <w:rPr>
                <w:rFonts w:eastAsia="Times New Roman"/>
                <w:b/>
                <w:bCs/>
                <w:i/>
                <w:iCs/>
                <w:color w:val="000000"/>
                <w:sz w:val="18"/>
                <w:szCs w:val="18"/>
              </w:rPr>
            </w:pPr>
            <w:r>
              <w:rPr>
                <w:b/>
                <w:i/>
                <w:color w:val="000000"/>
                <w:sz w:val="18"/>
              </w:rPr>
              <w:t>Итого</w:t>
            </w:r>
          </w:p>
        </w:tc>
        <w:tc>
          <w:tcPr>
            <w:tcW w:w="1710" w:type="dxa"/>
            <w:tcBorders>
              <w:top w:val="nil"/>
              <w:left w:val="nil"/>
              <w:bottom w:val="single" w:sz="8" w:space="0" w:color="auto"/>
              <w:right w:val="single" w:sz="8" w:space="0" w:color="auto"/>
            </w:tcBorders>
            <w:shd w:val="clear" w:color="auto" w:fill="auto"/>
            <w:noWrap/>
            <w:vAlign w:val="center"/>
            <w:hideMark/>
          </w:tcPr>
          <w:p w14:paraId="5DC4ECE3" w14:textId="77777777" w:rsidR="00055BFC" w:rsidRPr="00487076" w:rsidRDefault="00055BFC" w:rsidP="00B92127">
            <w:pPr>
              <w:keepNext/>
              <w:keepLines/>
              <w:spacing w:line="240" w:lineRule="auto"/>
              <w:jc w:val="center"/>
              <w:rPr>
                <w:rFonts w:eastAsia="Times New Roman"/>
                <w:b/>
                <w:bCs/>
                <w:i/>
                <w:iCs/>
                <w:color w:val="000000"/>
                <w:sz w:val="18"/>
                <w:szCs w:val="18"/>
              </w:rPr>
            </w:pPr>
            <w:r>
              <w:rPr>
                <w:b/>
                <w:i/>
                <w:color w:val="000000"/>
                <w:sz w:val="18"/>
              </w:rPr>
              <w:t>203</w:t>
            </w:r>
          </w:p>
        </w:tc>
        <w:tc>
          <w:tcPr>
            <w:tcW w:w="1260" w:type="dxa"/>
            <w:tcBorders>
              <w:top w:val="nil"/>
              <w:left w:val="nil"/>
              <w:bottom w:val="single" w:sz="8" w:space="0" w:color="auto"/>
              <w:right w:val="single" w:sz="8" w:space="0" w:color="auto"/>
            </w:tcBorders>
            <w:shd w:val="clear" w:color="auto" w:fill="auto"/>
            <w:noWrap/>
            <w:vAlign w:val="center"/>
            <w:hideMark/>
          </w:tcPr>
          <w:p w14:paraId="66C095F5" w14:textId="77777777" w:rsidR="00055BFC" w:rsidRPr="00487076" w:rsidRDefault="00055BFC" w:rsidP="00B92127">
            <w:pPr>
              <w:keepNext/>
              <w:keepLines/>
              <w:spacing w:line="240" w:lineRule="auto"/>
              <w:jc w:val="center"/>
              <w:rPr>
                <w:rFonts w:eastAsia="Times New Roman"/>
                <w:b/>
                <w:bCs/>
                <w:i/>
                <w:iCs/>
                <w:color w:val="000000"/>
                <w:sz w:val="18"/>
                <w:szCs w:val="18"/>
              </w:rPr>
            </w:pPr>
            <w:r>
              <w:rPr>
                <w:b/>
                <w:i/>
                <w:color w:val="000000"/>
                <w:sz w:val="18"/>
              </w:rPr>
              <w:t>170</w:t>
            </w:r>
          </w:p>
        </w:tc>
        <w:tc>
          <w:tcPr>
            <w:tcW w:w="1350" w:type="dxa"/>
            <w:tcBorders>
              <w:top w:val="nil"/>
              <w:left w:val="nil"/>
              <w:bottom w:val="single" w:sz="8" w:space="0" w:color="auto"/>
              <w:right w:val="single" w:sz="8" w:space="0" w:color="auto"/>
            </w:tcBorders>
            <w:shd w:val="clear" w:color="auto" w:fill="auto"/>
            <w:noWrap/>
            <w:vAlign w:val="center"/>
            <w:hideMark/>
          </w:tcPr>
          <w:p w14:paraId="0545BB83" w14:textId="77777777" w:rsidR="00055BFC" w:rsidRPr="00487076" w:rsidRDefault="00055BFC" w:rsidP="00B92127">
            <w:pPr>
              <w:keepNext/>
              <w:keepLines/>
              <w:spacing w:line="240" w:lineRule="auto"/>
              <w:jc w:val="center"/>
              <w:rPr>
                <w:rFonts w:eastAsia="Times New Roman"/>
                <w:b/>
                <w:bCs/>
                <w:i/>
                <w:iCs/>
                <w:color w:val="000000"/>
                <w:sz w:val="18"/>
                <w:szCs w:val="18"/>
              </w:rPr>
            </w:pPr>
            <w:r>
              <w:rPr>
                <w:b/>
                <w:i/>
                <w:color w:val="000000"/>
                <w:sz w:val="18"/>
              </w:rPr>
              <w:t>30</w:t>
            </w:r>
          </w:p>
        </w:tc>
        <w:tc>
          <w:tcPr>
            <w:tcW w:w="1440" w:type="dxa"/>
            <w:tcBorders>
              <w:top w:val="nil"/>
              <w:left w:val="nil"/>
              <w:bottom w:val="single" w:sz="8" w:space="0" w:color="auto"/>
              <w:right w:val="single" w:sz="8" w:space="0" w:color="auto"/>
            </w:tcBorders>
            <w:shd w:val="clear" w:color="auto" w:fill="auto"/>
            <w:noWrap/>
            <w:vAlign w:val="center"/>
            <w:hideMark/>
          </w:tcPr>
          <w:p w14:paraId="5F374C75" w14:textId="77777777" w:rsidR="00055BFC" w:rsidRPr="00487076" w:rsidRDefault="00055BFC" w:rsidP="00B92127">
            <w:pPr>
              <w:keepNext/>
              <w:keepLines/>
              <w:spacing w:line="240" w:lineRule="auto"/>
              <w:jc w:val="center"/>
              <w:rPr>
                <w:rFonts w:eastAsia="Times New Roman"/>
                <w:b/>
                <w:bCs/>
                <w:i/>
                <w:iCs/>
                <w:color w:val="000000"/>
                <w:sz w:val="18"/>
                <w:szCs w:val="18"/>
              </w:rPr>
            </w:pPr>
            <w:r>
              <w:rPr>
                <w:b/>
                <w:i/>
                <w:color w:val="000000"/>
                <w:sz w:val="18"/>
              </w:rPr>
              <w:t>3</w:t>
            </w:r>
          </w:p>
        </w:tc>
      </w:tr>
      <w:tr w:rsidR="00055BFC" w:rsidRPr="00487076" w14:paraId="4FD5A930" w14:textId="77777777" w:rsidTr="00B92127">
        <w:trPr>
          <w:trHeight w:val="255"/>
        </w:trPr>
        <w:tc>
          <w:tcPr>
            <w:tcW w:w="3330" w:type="dxa"/>
            <w:tcBorders>
              <w:top w:val="nil"/>
              <w:left w:val="single" w:sz="8" w:space="0" w:color="auto"/>
              <w:bottom w:val="single" w:sz="8" w:space="0" w:color="auto"/>
              <w:right w:val="single" w:sz="8" w:space="0" w:color="auto"/>
            </w:tcBorders>
            <w:shd w:val="clear" w:color="auto" w:fill="auto"/>
            <w:noWrap/>
            <w:vAlign w:val="center"/>
            <w:hideMark/>
          </w:tcPr>
          <w:p w14:paraId="41F6DEFA" w14:textId="77777777" w:rsidR="00055BFC" w:rsidRPr="00487076" w:rsidRDefault="00055BFC" w:rsidP="00B92127">
            <w:pPr>
              <w:keepNext/>
              <w:keepLines/>
              <w:spacing w:line="240" w:lineRule="auto"/>
              <w:rPr>
                <w:rFonts w:eastAsia="Times New Roman"/>
                <w:color w:val="000000"/>
                <w:sz w:val="18"/>
                <w:szCs w:val="18"/>
              </w:rPr>
            </w:pPr>
            <w:r>
              <w:rPr>
                <w:color w:val="000000"/>
                <w:sz w:val="18"/>
              </w:rPr>
              <w:t>Подлежат выполнению в 2025 году и позднее</w:t>
            </w:r>
          </w:p>
        </w:tc>
        <w:tc>
          <w:tcPr>
            <w:tcW w:w="1710" w:type="dxa"/>
            <w:tcBorders>
              <w:top w:val="nil"/>
              <w:left w:val="nil"/>
              <w:bottom w:val="single" w:sz="8" w:space="0" w:color="auto"/>
              <w:right w:val="single" w:sz="8" w:space="0" w:color="auto"/>
            </w:tcBorders>
            <w:shd w:val="clear" w:color="auto" w:fill="auto"/>
            <w:noWrap/>
            <w:vAlign w:val="center"/>
            <w:hideMark/>
          </w:tcPr>
          <w:p w14:paraId="36D4EEA5" w14:textId="77777777" w:rsidR="00055BFC" w:rsidRPr="00487076" w:rsidRDefault="00055BFC" w:rsidP="00B92127">
            <w:pPr>
              <w:keepNext/>
              <w:keepLines/>
              <w:spacing w:line="240" w:lineRule="auto"/>
              <w:jc w:val="center"/>
              <w:rPr>
                <w:rFonts w:eastAsia="Times New Roman"/>
                <w:color w:val="000000"/>
                <w:sz w:val="18"/>
                <w:szCs w:val="18"/>
              </w:rPr>
            </w:pPr>
            <w:r>
              <w:rPr>
                <w:color w:val="000000"/>
                <w:sz w:val="18"/>
              </w:rPr>
              <w:t>171</w:t>
            </w:r>
          </w:p>
        </w:tc>
        <w:tc>
          <w:tcPr>
            <w:tcW w:w="1260" w:type="dxa"/>
            <w:tcBorders>
              <w:top w:val="nil"/>
              <w:left w:val="nil"/>
              <w:bottom w:val="single" w:sz="8" w:space="0" w:color="auto"/>
              <w:right w:val="single" w:sz="8" w:space="0" w:color="auto"/>
            </w:tcBorders>
            <w:shd w:val="clear" w:color="auto" w:fill="auto"/>
            <w:noWrap/>
            <w:vAlign w:val="center"/>
            <w:hideMark/>
          </w:tcPr>
          <w:p w14:paraId="21D3F0E8" w14:textId="77777777" w:rsidR="00055BFC" w:rsidRPr="00487076" w:rsidRDefault="00055BFC" w:rsidP="00B92127">
            <w:pPr>
              <w:keepNext/>
              <w:keepLines/>
              <w:spacing w:line="240" w:lineRule="auto"/>
              <w:jc w:val="center"/>
              <w:rPr>
                <w:rFonts w:eastAsia="Times New Roman"/>
                <w:color w:val="000000"/>
                <w:sz w:val="18"/>
                <w:szCs w:val="18"/>
              </w:rPr>
            </w:pPr>
            <w:r>
              <w:rPr>
                <w:color w:val="000000"/>
                <w:sz w:val="18"/>
              </w:rPr>
              <w:t>149</w:t>
            </w:r>
          </w:p>
        </w:tc>
        <w:tc>
          <w:tcPr>
            <w:tcW w:w="1350" w:type="dxa"/>
            <w:tcBorders>
              <w:top w:val="nil"/>
              <w:left w:val="nil"/>
              <w:bottom w:val="single" w:sz="8" w:space="0" w:color="auto"/>
              <w:right w:val="single" w:sz="8" w:space="0" w:color="auto"/>
            </w:tcBorders>
            <w:shd w:val="clear" w:color="auto" w:fill="auto"/>
            <w:noWrap/>
            <w:vAlign w:val="center"/>
            <w:hideMark/>
          </w:tcPr>
          <w:p w14:paraId="5ACDBA43" w14:textId="77777777" w:rsidR="00055BFC" w:rsidRPr="00487076" w:rsidRDefault="00055BFC" w:rsidP="00B92127">
            <w:pPr>
              <w:keepNext/>
              <w:keepLines/>
              <w:spacing w:line="240" w:lineRule="auto"/>
              <w:jc w:val="center"/>
              <w:rPr>
                <w:rFonts w:eastAsia="Times New Roman"/>
                <w:color w:val="000000"/>
                <w:sz w:val="18"/>
                <w:szCs w:val="18"/>
              </w:rPr>
            </w:pPr>
            <w:r>
              <w:rPr>
                <w:color w:val="000000"/>
                <w:sz w:val="18"/>
              </w:rPr>
              <w:t>16</w:t>
            </w:r>
          </w:p>
        </w:tc>
        <w:tc>
          <w:tcPr>
            <w:tcW w:w="1440" w:type="dxa"/>
            <w:tcBorders>
              <w:top w:val="nil"/>
              <w:left w:val="nil"/>
              <w:bottom w:val="single" w:sz="8" w:space="0" w:color="auto"/>
              <w:right w:val="single" w:sz="8" w:space="0" w:color="auto"/>
            </w:tcBorders>
            <w:shd w:val="clear" w:color="auto" w:fill="auto"/>
            <w:noWrap/>
            <w:vAlign w:val="center"/>
            <w:hideMark/>
          </w:tcPr>
          <w:p w14:paraId="216F8F35" w14:textId="77777777" w:rsidR="00055BFC" w:rsidRPr="00487076" w:rsidRDefault="00055BFC" w:rsidP="00B92127">
            <w:pPr>
              <w:keepNext/>
              <w:keepLines/>
              <w:spacing w:line="240" w:lineRule="auto"/>
              <w:ind w:right="-104"/>
              <w:jc w:val="center"/>
              <w:rPr>
                <w:rFonts w:eastAsia="Times New Roman"/>
                <w:color w:val="000000"/>
                <w:sz w:val="18"/>
                <w:szCs w:val="18"/>
              </w:rPr>
            </w:pPr>
            <w:r>
              <w:rPr>
                <w:color w:val="000000"/>
                <w:sz w:val="18"/>
              </w:rPr>
              <w:t>6*</w:t>
            </w:r>
          </w:p>
        </w:tc>
      </w:tr>
      <w:tr w:rsidR="00055BFC" w:rsidRPr="00487076" w14:paraId="4F471763" w14:textId="77777777" w:rsidTr="00B92127">
        <w:trPr>
          <w:trHeight w:val="255"/>
        </w:trPr>
        <w:tc>
          <w:tcPr>
            <w:tcW w:w="3330" w:type="dxa"/>
            <w:tcBorders>
              <w:top w:val="nil"/>
              <w:left w:val="single" w:sz="8" w:space="0" w:color="auto"/>
              <w:bottom w:val="single" w:sz="8" w:space="0" w:color="auto"/>
              <w:right w:val="single" w:sz="8" w:space="0" w:color="auto"/>
            </w:tcBorders>
            <w:shd w:val="clear" w:color="auto" w:fill="auto"/>
            <w:noWrap/>
            <w:vAlign w:val="center"/>
            <w:hideMark/>
          </w:tcPr>
          <w:p w14:paraId="52C87479" w14:textId="77777777" w:rsidR="00055BFC" w:rsidRPr="00487076" w:rsidRDefault="00055BFC" w:rsidP="00B92127">
            <w:pPr>
              <w:keepNext/>
              <w:keepLines/>
              <w:spacing w:line="240" w:lineRule="auto"/>
              <w:rPr>
                <w:rFonts w:eastAsia="Times New Roman"/>
                <w:color w:val="000000"/>
                <w:sz w:val="18"/>
                <w:szCs w:val="18"/>
              </w:rPr>
            </w:pPr>
            <w:r>
              <w:rPr>
                <w:color w:val="000000"/>
                <w:sz w:val="18"/>
              </w:rPr>
              <w:t>Срок выполнения истек</w:t>
            </w:r>
          </w:p>
        </w:tc>
        <w:tc>
          <w:tcPr>
            <w:tcW w:w="1710" w:type="dxa"/>
            <w:tcBorders>
              <w:top w:val="nil"/>
              <w:left w:val="nil"/>
              <w:bottom w:val="single" w:sz="8" w:space="0" w:color="auto"/>
              <w:right w:val="single" w:sz="8" w:space="0" w:color="auto"/>
            </w:tcBorders>
            <w:shd w:val="clear" w:color="auto" w:fill="auto"/>
            <w:noWrap/>
            <w:vAlign w:val="center"/>
            <w:hideMark/>
          </w:tcPr>
          <w:p w14:paraId="6F291E38" w14:textId="77777777" w:rsidR="00055BFC" w:rsidRPr="00487076" w:rsidRDefault="00055BFC" w:rsidP="00B92127">
            <w:pPr>
              <w:keepNext/>
              <w:keepLines/>
              <w:spacing w:line="240" w:lineRule="auto"/>
              <w:jc w:val="center"/>
              <w:rPr>
                <w:rFonts w:eastAsia="Times New Roman"/>
                <w:color w:val="000000"/>
                <w:sz w:val="18"/>
                <w:szCs w:val="18"/>
              </w:rPr>
            </w:pPr>
            <w:r>
              <w:rPr>
                <w:color w:val="000000"/>
                <w:sz w:val="18"/>
              </w:rPr>
              <w:t>32</w:t>
            </w:r>
          </w:p>
        </w:tc>
        <w:tc>
          <w:tcPr>
            <w:tcW w:w="1260" w:type="dxa"/>
            <w:tcBorders>
              <w:top w:val="nil"/>
              <w:left w:val="nil"/>
              <w:bottom w:val="single" w:sz="8" w:space="0" w:color="auto"/>
              <w:right w:val="single" w:sz="8" w:space="0" w:color="auto"/>
            </w:tcBorders>
            <w:shd w:val="clear" w:color="auto" w:fill="auto"/>
            <w:noWrap/>
            <w:vAlign w:val="center"/>
            <w:hideMark/>
          </w:tcPr>
          <w:p w14:paraId="17794980" w14:textId="77777777" w:rsidR="00055BFC" w:rsidRPr="00487076" w:rsidRDefault="00055BFC" w:rsidP="00B92127">
            <w:pPr>
              <w:keepNext/>
              <w:keepLines/>
              <w:spacing w:line="240" w:lineRule="auto"/>
              <w:ind w:right="-15"/>
              <w:jc w:val="center"/>
              <w:rPr>
                <w:rFonts w:eastAsia="Times New Roman"/>
                <w:color w:val="000000"/>
                <w:sz w:val="18"/>
                <w:szCs w:val="18"/>
              </w:rPr>
            </w:pPr>
            <w:r>
              <w:rPr>
                <w:color w:val="000000"/>
                <w:sz w:val="18"/>
              </w:rPr>
              <w:t>31</w:t>
            </w:r>
          </w:p>
        </w:tc>
        <w:tc>
          <w:tcPr>
            <w:tcW w:w="1350" w:type="dxa"/>
            <w:tcBorders>
              <w:top w:val="nil"/>
              <w:left w:val="nil"/>
              <w:bottom w:val="single" w:sz="8" w:space="0" w:color="auto"/>
              <w:right w:val="single" w:sz="8" w:space="0" w:color="auto"/>
            </w:tcBorders>
            <w:shd w:val="clear" w:color="auto" w:fill="auto"/>
            <w:noWrap/>
            <w:vAlign w:val="center"/>
            <w:hideMark/>
          </w:tcPr>
          <w:p w14:paraId="2305706B" w14:textId="77777777" w:rsidR="00055BFC" w:rsidRPr="00487076" w:rsidRDefault="00055BFC" w:rsidP="00B92127">
            <w:pPr>
              <w:keepNext/>
              <w:keepLines/>
              <w:spacing w:line="240" w:lineRule="auto"/>
              <w:ind w:right="-285"/>
              <w:jc w:val="center"/>
              <w:rPr>
                <w:rFonts w:eastAsia="Times New Roman"/>
                <w:color w:val="000000"/>
                <w:sz w:val="18"/>
                <w:szCs w:val="18"/>
              </w:rPr>
            </w:pPr>
            <w:r>
              <w:rPr>
                <w:color w:val="000000"/>
                <w:sz w:val="18"/>
              </w:rPr>
              <w:t>1**</w:t>
            </w:r>
          </w:p>
        </w:tc>
        <w:tc>
          <w:tcPr>
            <w:tcW w:w="1440" w:type="dxa"/>
            <w:tcBorders>
              <w:top w:val="nil"/>
              <w:left w:val="nil"/>
              <w:bottom w:val="single" w:sz="8" w:space="0" w:color="auto"/>
              <w:right w:val="single" w:sz="8" w:space="0" w:color="auto"/>
            </w:tcBorders>
            <w:shd w:val="clear" w:color="auto" w:fill="auto"/>
            <w:noWrap/>
            <w:vAlign w:val="center"/>
            <w:hideMark/>
          </w:tcPr>
          <w:p w14:paraId="22B68633" w14:textId="77777777" w:rsidR="00055BFC" w:rsidRPr="00487076" w:rsidRDefault="00055BFC" w:rsidP="00B92127">
            <w:pPr>
              <w:keepNext/>
              <w:keepLines/>
              <w:spacing w:line="240" w:lineRule="auto"/>
              <w:ind w:right="-14"/>
              <w:jc w:val="center"/>
              <w:rPr>
                <w:rFonts w:eastAsia="Times New Roman"/>
                <w:color w:val="000000"/>
                <w:sz w:val="18"/>
                <w:szCs w:val="18"/>
              </w:rPr>
            </w:pPr>
            <w:r>
              <w:rPr>
                <w:color w:val="000000"/>
                <w:sz w:val="18"/>
              </w:rPr>
              <w:t>—</w:t>
            </w:r>
          </w:p>
        </w:tc>
      </w:tr>
      <w:tr w:rsidR="00055BFC" w:rsidRPr="00487076" w14:paraId="5B3CD0BC" w14:textId="77777777" w:rsidTr="00B92127">
        <w:trPr>
          <w:trHeight w:val="255"/>
        </w:trPr>
        <w:tc>
          <w:tcPr>
            <w:tcW w:w="9090" w:type="dxa"/>
            <w:gridSpan w:val="5"/>
            <w:tcBorders>
              <w:top w:val="single" w:sz="4" w:space="0" w:color="auto"/>
            </w:tcBorders>
            <w:shd w:val="clear" w:color="auto" w:fill="auto"/>
            <w:noWrap/>
            <w:vAlign w:val="center"/>
          </w:tcPr>
          <w:p w14:paraId="75590807" w14:textId="77777777" w:rsidR="00055BFC" w:rsidRPr="00487076" w:rsidRDefault="00055BFC" w:rsidP="00B92127">
            <w:pPr>
              <w:spacing w:before="60" w:line="240" w:lineRule="auto"/>
              <w:ind w:left="-107"/>
              <w:jc w:val="both"/>
              <w:rPr>
                <w:rFonts w:eastAsia="Times New Roman"/>
                <w:color w:val="000000"/>
                <w:sz w:val="16"/>
                <w:szCs w:val="16"/>
              </w:rPr>
            </w:pPr>
            <w:r>
              <w:rPr>
                <w:color w:val="000000"/>
                <w:sz w:val="16"/>
              </w:rPr>
              <w:t>*</w:t>
            </w:r>
            <w:r>
              <w:t xml:space="preserve"> </w:t>
            </w:r>
            <w:r w:rsidRPr="00182D04">
              <w:rPr>
                <w:sz w:val="16"/>
                <w:szCs w:val="16"/>
              </w:rPr>
              <w:t>Это рекомендации, реализация которых, согласно графику, предусмотрена более чем через 18 месяцев после 31 декабря 2024 года.</w:t>
            </w:r>
            <w:r>
              <w:rPr>
                <w:color w:val="000000"/>
                <w:sz w:val="16"/>
              </w:rPr>
              <w:t xml:space="preserve"> Их предстоит реализовать в будущем.</w:t>
            </w:r>
          </w:p>
          <w:p w14:paraId="7395F74A" w14:textId="77777777" w:rsidR="00055BFC" w:rsidRPr="00487076" w:rsidDel="001C40B4" w:rsidRDefault="00055BFC" w:rsidP="00B92127">
            <w:pPr>
              <w:spacing w:before="60" w:line="240" w:lineRule="auto"/>
              <w:ind w:left="-107"/>
              <w:rPr>
                <w:rFonts w:eastAsia="Times New Roman"/>
                <w:color w:val="000000"/>
                <w:sz w:val="16"/>
                <w:szCs w:val="16"/>
              </w:rPr>
            </w:pPr>
            <w:r>
              <w:rPr>
                <w:color w:val="000000"/>
                <w:sz w:val="16"/>
              </w:rPr>
              <w:t>**</w:t>
            </w:r>
            <w:r>
              <w:t xml:space="preserve"> </w:t>
            </w:r>
            <w:r>
              <w:rPr>
                <w:color w:val="000000"/>
                <w:sz w:val="16"/>
              </w:rPr>
              <w:t>Одна из просроченных рекомендаций была закрыта в первом квартале 2025 года</w:t>
            </w:r>
            <w:r>
              <w:t>.</w:t>
            </w:r>
          </w:p>
        </w:tc>
      </w:tr>
      <w:tr w:rsidR="00055BFC" w:rsidRPr="00487076" w14:paraId="4B292BFC" w14:textId="77777777" w:rsidTr="00B92127">
        <w:trPr>
          <w:trHeight w:val="432"/>
        </w:trPr>
        <w:tc>
          <w:tcPr>
            <w:tcW w:w="9090" w:type="dxa"/>
            <w:gridSpan w:val="5"/>
            <w:tcBorders>
              <w:bottom w:val="nil"/>
            </w:tcBorders>
            <w:shd w:val="clear" w:color="auto" w:fill="auto"/>
            <w:noWrap/>
            <w:vAlign w:val="center"/>
          </w:tcPr>
          <w:p w14:paraId="4720AA11" w14:textId="77777777" w:rsidR="00055BFC" w:rsidRPr="00487076" w:rsidDel="001C40B4" w:rsidRDefault="00055BFC" w:rsidP="00B92127">
            <w:pPr>
              <w:spacing w:before="60" w:line="240" w:lineRule="auto"/>
              <w:ind w:left="-107"/>
              <w:rPr>
                <w:rFonts w:eastAsia="Times New Roman"/>
                <w:color w:val="000000"/>
                <w:sz w:val="16"/>
                <w:szCs w:val="16"/>
              </w:rPr>
            </w:pPr>
          </w:p>
        </w:tc>
      </w:tr>
    </w:tbl>
    <w:p w14:paraId="05894C46" w14:textId="77777777" w:rsidR="00055BFC" w:rsidRPr="00487076" w:rsidRDefault="00055BFC" w:rsidP="00055BFC">
      <w:pPr>
        <w:pStyle w:val="HeadA"/>
        <w:numPr>
          <w:ilvl w:val="0"/>
          <w:numId w:val="0"/>
        </w:numPr>
        <w:ind w:left="734" w:hanging="590"/>
      </w:pPr>
      <w:bookmarkStart w:id="37" w:name="_Toc131444626"/>
      <w:bookmarkStart w:id="38" w:name="_Toc131447861"/>
      <w:bookmarkStart w:id="39" w:name="_Toc131453711"/>
      <w:bookmarkStart w:id="40" w:name="_Toc131453788"/>
      <w:bookmarkStart w:id="41" w:name="_Toc131444628"/>
      <w:bookmarkStart w:id="42" w:name="_Toc131447863"/>
      <w:bookmarkStart w:id="43" w:name="_Toc131453713"/>
      <w:bookmarkStart w:id="44" w:name="_Toc131453790"/>
      <w:bookmarkStart w:id="45" w:name="_Toc196833160"/>
      <w:bookmarkEnd w:id="37"/>
      <w:bookmarkEnd w:id="38"/>
      <w:bookmarkEnd w:id="39"/>
      <w:bookmarkEnd w:id="40"/>
      <w:bookmarkEnd w:id="41"/>
      <w:bookmarkEnd w:id="42"/>
      <w:bookmarkEnd w:id="43"/>
      <w:bookmarkEnd w:id="44"/>
      <w:r w:rsidRPr="00487076">
        <w:t>D.</w:t>
      </w:r>
      <w:r w:rsidRPr="00487076">
        <w:tab/>
      </w:r>
      <w:r>
        <w:t>Выпуск и публикация отчетов о внутреннем аудите</w:t>
      </w:r>
      <w:bookmarkEnd w:id="45"/>
    </w:p>
    <w:p w14:paraId="7F3FD837" w14:textId="54712624" w:rsidR="00055BFC" w:rsidRPr="00487076" w:rsidRDefault="00055BFC" w:rsidP="00055BFC">
      <w:pPr>
        <w:pStyle w:val="Para1"/>
        <w:numPr>
          <w:ilvl w:val="0"/>
          <w:numId w:val="0"/>
        </w:numPr>
        <w:ind w:left="720" w:hanging="11"/>
      </w:pPr>
      <w:r w:rsidRPr="00487076">
        <w:t>68.</w:t>
      </w:r>
      <w:r w:rsidRPr="00487076">
        <w:tab/>
      </w:r>
      <w:r>
        <w:t>Все отчеты о внутреннем аудите, подготовленные в соответствии с планом аудита на 2024 год, были опубликованы в соответствии с решением </w:t>
      </w:r>
      <w:r w:rsidRPr="00055BFC">
        <w:t>2012/18</w:t>
      </w:r>
      <w:r>
        <w:t xml:space="preserve"> Исполнительного совета и размещены</w:t>
      </w:r>
      <w:r w:rsidRPr="00487076">
        <w:rPr>
          <w:vertAlign w:val="superscript"/>
        </w:rPr>
        <w:footnoteReference w:id="15"/>
      </w:r>
      <w:r>
        <w:t xml:space="preserve"> на веб-сайте ЮНФПА по раскрытию информацию об аудите: </w:t>
      </w:r>
      <w:hyperlink r:id="rId28" w:history="1">
        <w:r>
          <w:rPr>
            <w:rStyle w:val="Hyperlink"/>
          </w:rPr>
          <w:t>https://www.unfpa.org/internal-audit-reports-listing-page</w:t>
        </w:r>
      </w:hyperlink>
      <w:r>
        <w:t xml:space="preserve">. УАР частично отредактировало три отчета, опубликованных в 2024 году, касающихся аудита информационно-коммуникационных технологий (ИКТ), в целях предотвращения публичного раскрытия конфиденциальной информации о системах и кибербезопасности организации. В 2024 году от директора-исполнителя или постоянных представительств государств-членов, в которых находятся страновые отделения, являющиеся предметом аудита, не поступало запросов на пересмотр результатов аудита. </w:t>
      </w:r>
    </w:p>
    <w:p w14:paraId="4F56BE6D" w14:textId="77777777" w:rsidR="00055BFC" w:rsidRPr="00487076" w:rsidRDefault="00055BFC" w:rsidP="00055BFC">
      <w:pPr>
        <w:pStyle w:val="HeadI"/>
        <w:numPr>
          <w:ilvl w:val="0"/>
          <w:numId w:val="0"/>
        </w:numPr>
        <w:ind w:left="720" w:hanging="436"/>
      </w:pPr>
      <w:bookmarkStart w:id="46" w:name="_Toc131444630"/>
      <w:bookmarkStart w:id="47" w:name="_Toc131447865"/>
      <w:bookmarkStart w:id="48" w:name="_Toc131453715"/>
      <w:bookmarkStart w:id="49" w:name="_Toc131453792"/>
      <w:bookmarkStart w:id="50" w:name="_Toc131023723"/>
      <w:bookmarkStart w:id="51" w:name="_Toc196833161"/>
      <w:bookmarkEnd w:id="46"/>
      <w:bookmarkEnd w:id="47"/>
      <w:bookmarkEnd w:id="48"/>
      <w:bookmarkEnd w:id="49"/>
      <w:bookmarkEnd w:id="50"/>
      <w:r w:rsidRPr="00487076">
        <w:rPr>
          <w:sz w:val="24"/>
          <w:szCs w:val="24"/>
        </w:rPr>
        <w:t>VIII.</w:t>
      </w:r>
      <w:r w:rsidRPr="00487076">
        <w:rPr>
          <w:sz w:val="24"/>
          <w:szCs w:val="24"/>
        </w:rPr>
        <w:tab/>
      </w:r>
      <w:r>
        <w:t>Следственные действия и результаты</w:t>
      </w:r>
      <w:bookmarkEnd w:id="51"/>
    </w:p>
    <w:p w14:paraId="4DD42C98" w14:textId="77777777" w:rsidR="00055BFC" w:rsidRPr="00487076" w:rsidRDefault="00055BFC" w:rsidP="00055BFC">
      <w:pPr>
        <w:pStyle w:val="Para1"/>
        <w:numPr>
          <w:ilvl w:val="0"/>
          <w:numId w:val="0"/>
        </w:numPr>
        <w:ind w:left="720" w:hanging="11"/>
        <w:rPr>
          <w:spacing w:val="-2"/>
        </w:rPr>
      </w:pPr>
      <w:bookmarkStart w:id="52" w:name="_heading=h.1t3h5sf"/>
      <w:bookmarkEnd w:id="52"/>
      <w:r w:rsidRPr="00487076">
        <w:rPr>
          <w:spacing w:val="-2"/>
        </w:rPr>
        <w:t>69.</w:t>
      </w:r>
      <w:r w:rsidRPr="00487076">
        <w:rPr>
          <w:spacing w:val="-2"/>
        </w:rPr>
        <w:tab/>
      </w:r>
      <w:r>
        <w:t>УАР отвечает за проведение расследований по заявлениям о правонарушениях, включая (но не ограничиваясь этим) следующее.</w:t>
      </w:r>
    </w:p>
    <w:p w14:paraId="5FBFAA9E" w14:textId="77777777" w:rsidR="00055BFC" w:rsidRPr="00487076" w:rsidRDefault="00055BFC" w:rsidP="00055BFC">
      <w:pPr>
        <w:pStyle w:val="Paraa"/>
        <w:numPr>
          <w:ilvl w:val="0"/>
          <w:numId w:val="0"/>
        </w:numPr>
        <w:ind w:left="720"/>
      </w:pPr>
      <w:r w:rsidRPr="00487076">
        <w:t>(a)</w:t>
      </w:r>
      <w:r w:rsidRPr="00487076">
        <w:tab/>
      </w:r>
      <w:r>
        <w:rPr>
          <w:i/>
        </w:rPr>
        <w:t>«Внутренние расследования»:</w:t>
      </w:r>
      <w:r>
        <w:t xml:space="preserve"> неправомерные действия сотрудников, стажеров, младших специалистов ЮНФПА, добровольцев ООН, подрядчиков, оказывающих услуги ЮНФПА, включая мошенничество, коррупцию, домогательства на рабочем месте, сексуальные домогательства, злоупотребления властью, преследования, сексуальную эксплуатацию и сексуальные надругательства, а также другие нарушения применимых положений, правил, административных или директивных инструкций.</w:t>
      </w:r>
    </w:p>
    <w:p w14:paraId="570162B6" w14:textId="77777777" w:rsidR="00055BFC" w:rsidRPr="00487076" w:rsidRDefault="00055BFC" w:rsidP="00055BFC">
      <w:pPr>
        <w:pStyle w:val="Paraa"/>
        <w:numPr>
          <w:ilvl w:val="0"/>
          <w:numId w:val="0"/>
        </w:numPr>
        <w:ind w:left="720"/>
      </w:pPr>
      <w:r w:rsidRPr="00487076">
        <w:t>(b)</w:t>
      </w:r>
      <w:r w:rsidRPr="00487076">
        <w:tab/>
      </w:r>
      <w:r>
        <w:rPr>
          <w:i/>
        </w:rPr>
        <w:t>«Внешние» расследования</w:t>
      </w:r>
      <w:r>
        <w:t xml:space="preserve">: противоправные действия, включая запрещенную практику и сексуальную эксплуатацию и сексуальные надругательства со стороны независимых подрядчиков, партнеров-исполнителей, поставщиков и других третьих лиц, совершенные в ущерб ЮНФПА. </w:t>
      </w:r>
    </w:p>
    <w:p w14:paraId="6B34CEDC" w14:textId="77777777" w:rsidR="00055BFC" w:rsidRPr="00487076" w:rsidRDefault="00055BFC" w:rsidP="00055BFC">
      <w:pPr>
        <w:pStyle w:val="Paraa"/>
        <w:numPr>
          <w:ilvl w:val="0"/>
          <w:numId w:val="0"/>
        </w:numPr>
        <w:ind w:left="720"/>
      </w:pPr>
      <w:r w:rsidRPr="00487076">
        <w:t>(c)</w:t>
      </w:r>
      <w:r w:rsidRPr="00487076">
        <w:tab/>
      </w:r>
      <w:r>
        <w:rPr>
          <w:i/>
        </w:rPr>
        <w:t>Расследования, проводимые «третьей стороной»</w:t>
      </w:r>
      <w:r>
        <w:t>: УАР следит за расследованиями, проводимыми партнерами-исполнителями ЮНФПА, особенно в связи с мошенничеством, сексуальной эксплуатацией и сексуальными надругательствами, к которым причастен персонал партнеров-исполнителей и субподрядчиков. Кроме того, УАР рассматривает досье расследований третьих сторон, проводимых другими организациями системы ООН в отношении сотрудников ЮНФПА, на предмет возможного одобрения.</w:t>
      </w:r>
    </w:p>
    <w:p w14:paraId="63F0B998" w14:textId="56763EB4" w:rsidR="00055BFC" w:rsidRPr="00487076" w:rsidRDefault="00055BFC" w:rsidP="00055BFC">
      <w:pPr>
        <w:pStyle w:val="Para1"/>
        <w:numPr>
          <w:ilvl w:val="0"/>
          <w:numId w:val="0"/>
        </w:numPr>
        <w:ind w:left="720" w:hanging="11"/>
      </w:pPr>
      <w:r w:rsidRPr="00487076">
        <w:t>70.</w:t>
      </w:r>
      <w:r w:rsidRPr="00487076">
        <w:tab/>
      </w:r>
      <w:r>
        <w:t xml:space="preserve">Процесс расследования, принятый УАР, как было описано ранее (см. </w:t>
      </w:r>
      <w:hyperlink r:id="rId29" w:history="1">
        <w:r>
          <w:rPr>
            <w:rStyle w:val="Hyperlink"/>
          </w:rPr>
          <w:t>DP/FPA/2018/6</w:t>
        </w:r>
      </w:hyperlink>
      <w:r>
        <w:t>, пункт 29), не изменился в 2024 году. Этот процесс включает в себя получение жалобы или сообщения о правонарушении, которые немедленно проверяются на предмет того, подпадает ли данный вопрос под мандат УАР. Если вопрос соответствует задачам, УАР открывает дело на стадии предварительного рассмотрения. Если дело связано с обращением в Бюро по вопросам этики о преследовании, оно сразу же переходит в стадию расследования. Любой вопрос, по которому УАР не открывает дело, регистрируется как непрофильный. На этапе предварительного рассмотрения УАР определяет, судя по имеющимся доказательствам, является ли вопрос, переданный в УАР, правонарушением. Если это не так, УАР закрывает дело на основании служебной записки и при необходимости направляет уведомление в соответствующий отдел для решения вопроса. Если вопрос квалифицирован как правонарушение, УАР открывает расследование, в ходе которого рассматриваются все версии и собираются имеющиеся — свидетельские, документальные, цифровые или иные — доказательства. Если в ходе расследования УАР определяет, что на основании имеющихся доказательств существование правонарушения не может быть подтверждено или что вопрос больше не требует расследования, УАР может закрыть дело на основании служебной записки и проинформировать заявителя и (или) пострадавших о результатах расследования. По завершении полномасштабного расследования как заявитель/пострадавший, так и субъект расследования информируются о его результатах. В случаях, не связанных с преследованием, если обстоятельства дела подтверждаются, оно передается в юридический отдел ЮНФПА с использованием отчета о расследовании; если не подтверждаются, отчет о закрытии расследования сохраняется в файле УАР. В случаях, связанных с преследованием, независимо от того, подтвердились ли обвинения, УАР готовит отчеты о расследовании и передает их в Бюро по вопросам этике. Когда УАР закрывает дело, оно также может, при необходимости, направить его в соответствующее подразделение ЮНФПА или другое учреждение Организации Объединенных Наций для решения вопроса/принятия дальнейших мер. УАР оставляет за собой право возобновить рассмотрение дела, если будет получена новая информация о заявлении (заявлениях), которая потребует возобновления рассмотрения дела.</w:t>
      </w:r>
    </w:p>
    <w:p w14:paraId="250CD6CF" w14:textId="77777777" w:rsidR="00055BFC" w:rsidRPr="00487076" w:rsidRDefault="00055BFC" w:rsidP="00055BFC">
      <w:pPr>
        <w:pStyle w:val="Subheading"/>
        <w:numPr>
          <w:ilvl w:val="0"/>
          <w:numId w:val="0"/>
        </w:numPr>
        <w:ind w:left="1260" w:hanging="551"/>
      </w:pPr>
      <w:r w:rsidRPr="00487076">
        <w:t>a.</w:t>
      </w:r>
      <w:r w:rsidRPr="00487076">
        <w:tab/>
      </w:r>
      <w:r>
        <w:t>Перенос дел с 2023 года и предыдущих лет</w:t>
      </w:r>
    </w:p>
    <w:p w14:paraId="78998DD3" w14:textId="77777777" w:rsidR="00055BFC" w:rsidRPr="00487076" w:rsidRDefault="00055BFC" w:rsidP="00055BFC">
      <w:pPr>
        <w:pStyle w:val="Para1"/>
        <w:numPr>
          <w:ilvl w:val="0"/>
          <w:numId w:val="0"/>
        </w:numPr>
        <w:ind w:left="720" w:hanging="11"/>
      </w:pPr>
      <w:bookmarkStart w:id="53" w:name="_heading=h.4d34og8"/>
      <w:bookmarkEnd w:id="53"/>
      <w:r w:rsidRPr="00487076">
        <w:t>71.</w:t>
      </w:r>
      <w:r w:rsidRPr="00487076">
        <w:tab/>
      </w:r>
      <w:r>
        <w:t>На начало 2024 года УАР перенесло на следующий год 314 открытых дел за предыдущие годы. Из них 250 (80 процентов) находились на стадии предварительного рассмотрения, а 64 (20 процентов) — на стадии полномасштабного расследования. В соответствии с согласованными определениями и отчетностью соответствующих фондов и программ Организации Объединенных Наций из 314 открытых дел на начало 2024 года в 164 (52 процента) было основное обвинение</w:t>
      </w:r>
      <w:r w:rsidRPr="00487076">
        <w:rPr>
          <w:vertAlign w:val="superscript"/>
        </w:rPr>
        <w:footnoteReference w:id="16"/>
      </w:r>
      <w:r>
        <w:t xml:space="preserve"> в мошенничестве и финансовых нарушениях; в 58 (18 процентов) — основное обвинение в сексуальном преследовании (сексуальная эксплуатация и сексуальные надругательства, сексуальное преследование или сексуальное домогательство); в 56 (18 процентов) — основное обвинение в запрещенном поведении (злоупотребление властью, дискриминация или злоупотребление служебным положением на рабочем месте); в 35 (11 процентов) — основное обвинение в других проступках/неправомерных действиях (таких как злоупотребление привилегиями и иммунитетами, фаворитизм, несанкционированное разглашение информации и неэтичная практика); и в одном случае (менее 1 процента) — в преследованиях. По состоянию на 1 января 2024 года со ссылкой на согласованные категории 314 перенесенных дел находились на разных стадиях процесса расследования</w:t>
      </w:r>
      <w:r w:rsidRPr="00487076">
        <w:rPr>
          <w:vertAlign w:val="superscript"/>
        </w:rPr>
        <w:footnoteReference w:id="17"/>
      </w:r>
      <w:r w:rsidRPr="00C56824">
        <w:t>:</w:t>
      </w:r>
      <w:r>
        <w:t xml:space="preserve"> </w:t>
      </w:r>
    </w:p>
    <w:p w14:paraId="35E2D48F" w14:textId="77777777" w:rsidR="00055BFC" w:rsidRPr="00487076" w:rsidRDefault="00055BFC" w:rsidP="00055BFC">
      <w:pPr>
        <w:pStyle w:val="Paraa"/>
        <w:numPr>
          <w:ilvl w:val="0"/>
          <w:numId w:val="0"/>
        </w:numPr>
        <w:ind w:left="720"/>
      </w:pPr>
      <w:r w:rsidRPr="00487076">
        <w:t>(a)</w:t>
      </w:r>
      <w:r w:rsidRPr="00487076">
        <w:tab/>
      </w:r>
      <w:r>
        <w:t>Из 164 дел о мошенничестве и финансовых нарушениях 130 находились на стадии предварительного рассмотрения, а 34 — на стадии полномасштабного расследования.</w:t>
      </w:r>
    </w:p>
    <w:p w14:paraId="5A0143FF" w14:textId="77777777" w:rsidR="00055BFC" w:rsidRPr="00487076" w:rsidRDefault="00055BFC" w:rsidP="00055BFC">
      <w:pPr>
        <w:pStyle w:val="Paraa"/>
        <w:numPr>
          <w:ilvl w:val="0"/>
          <w:numId w:val="0"/>
        </w:numPr>
        <w:ind w:left="720"/>
      </w:pPr>
      <w:r w:rsidRPr="00487076">
        <w:t>(b)</w:t>
      </w:r>
      <w:r w:rsidRPr="00487076">
        <w:tab/>
      </w:r>
      <w:r>
        <w:t>Из 58 дел о сексуальных преследованиях 48 находились на стадии предварительного рассмотрения, а 10 — на стадии полномасштабного расследования;</w:t>
      </w:r>
    </w:p>
    <w:p w14:paraId="7D9A6380" w14:textId="77777777" w:rsidR="00055BFC" w:rsidRPr="00487076" w:rsidRDefault="00055BFC" w:rsidP="00055BFC">
      <w:pPr>
        <w:pStyle w:val="Paraa"/>
        <w:numPr>
          <w:ilvl w:val="0"/>
          <w:numId w:val="0"/>
        </w:numPr>
        <w:ind w:left="720"/>
      </w:pPr>
      <w:r w:rsidRPr="00487076">
        <w:t>(c)</w:t>
      </w:r>
      <w:r w:rsidRPr="00487076">
        <w:tab/>
      </w:r>
      <w:r>
        <w:t>Из 56 дел о запрещенном поведении 44 находились на стадии предварительного рассмотрения, а 12 — на стадии полномасштабного расследования;</w:t>
      </w:r>
    </w:p>
    <w:p w14:paraId="26E82BD9" w14:textId="77777777" w:rsidR="00055BFC" w:rsidRPr="00487076" w:rsidRDefault="00055BFC" w:rsidP="00055BFC">
      <w:pPr>
        <w:pStyle w:val="Paraa"/>
        <w:numPr>
          <w:ilvl w:val="0"/>
          <w:numId w:val="0"/>
        </w:numPr>
        <w:ind w:left="720"/>
      </w:pPr>
      <w:r w:rsidRPr="00487076">
        <w:t>(d)</w:t>
      </w:r>
      <w:r w:rsidRPr="00487076">
        <w:tab/>
      </w:r>
      <w:r>
        <w:t xml:space="preserve">Из 35 других дел о правонарушениях/неправомерных действиях 28 находились на стадии предварительного рассмотрения, а семь — на стадии полномасштабного расследования. </w:t>
      </w:r>
    </w:p>
    <w:p w14:paraId="33E6F189" w14:textId="77777777" w:rsidR="00055BFC" w:rsidRPr="00487076" w:rsidRDefault="00055BFC" w:rsidP="00055BFC">
      <w:pPr>
        <w:pStyle w:val="Paraa"/>
        <w:numPr>
          <w:ilvl w:val="0"/>
          <w:numId w:val="0"/>
        </w:numPr>
        <w:ind w:left="720"/>
      </w:pPr>
      <w:r w:rsidRPr="00487076">
        <w:t>(e)</w:t>
      </w:r>
      <w:r w:rsidRPr="00487076">
        <w:tab/>
      </w:r>
      <w:r>
        <w:t>Единственный случай преследования был полностью расследован.</w:t>
      </w:r>
    </w:p>
    <w:p w14:paraId="3DCCD61C" w14:textId="77777777" w:rsidR="00055BFC" w:rsidRPr="00FE22B0" w:rsidRDefault="00055BFC" w:rsidP="00055BFC">
      <w:pPr>
        <w:pStyle w:val="Para1"/>
        <w:numPr>
          <w:ilvl w:val="0"/>
          <w:numId w:val="0"/>
        </w:numPr>
        <w:ind w:left="720" w:hanging="11"/>
      </w:pPr>
      <w:r w:rsidRPr="00487076">
        <w:t>72.</w:t>
      </w:r>
      <w:r w:rsidRPr="00487076">
        <w:tab/>
      </w:r>
      <w:r>
        <w:t>На рисунке 5 показано распределение дел, перенесенных с 2023 года и предыдущих лет, с использованием вышеупомянутых согласованных категорий.</w:t>
      </w:r>
    </w:p>
    <w:p w14:paraId="270A93F0" w14:textId="77777777" w:rsidR="00055BFC" w:rsidRPr="00FE22B0" w:rsidRDefault="00055BFC" w:rsidP="00055BFC">
      <w:pPr>
        <w:pStyle w:val="Para1"/>
        <w:numPr>
          <w:ilvl w:val="0"/>
          <w:numId w:val="0"/>
        </w:numPr>
        <w:ind w:left="720" w:hanging="11"/>
      </w:pPr>
    </w:p>
    <w:p w14:paraId="763EB2A1" w14:textId="4937EE8F" w:rsidR="00055BFC" w:rsidRPr="00487076" w:rsidRDefault="00055BFC" w:rsidP="00055BFC">
      <w:pPr>
        <w:pStyle w:val="Figure"/>
        <w:spacing w:before="360" w:after="240"/>
        <w:ind w:left="1281" w:right="578"/>
      </w:pPr>
      <w:r>
        <w:rPr>
          <w:noProof/>
          <w:lang w:val="en-US"/>
        </w:rPr>
        <w:drawing>
          <wp:anchor distT="0" distB="0" distL="114300" distR="114300" simplePos="0" relativeHeight="251660288" behindDoc="0" locked="0" layoutInCell="1" allowOverlap="1" wp14:anchorId="03B204C4" wp14:editId="19FF2D50">
            <wp:simplePos x="0" y="0"/>
            <wp:positionH relativeFrom="column">
              <wp:posOffset>809625</wp:posOffset>
            </wp:positionH>
            <wp:positionV relativeFrom="paragraph">
              <wp:posOffset>276225</wp:posOffset>
            </wp:positionV>
            <wp:extent cx="5279865" cy="3924300"/>
            <wp:effectExtent l="0" t="0" r="0" b="0"/>
            <wp:wrapTopAndBottom/>
            <wp:docPr id="1657492269" name="Obrázek 3" descr="Obsah obrázku text, snímek obrazovky, kruh, Barevnos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492269" name="Obrázek 3" descr="Obsah obrázku text, snímek obrazovky, kruh, Barevnost&#10;&#10;Popis byl vytvořen automaticky"/>
                    <pic:cNvPicPr/>
                  </pic:nvPicPr>
                  <pic:blipFill>
                    <a:blip r:embed="rId30">
                      <a:extLst>
                        <a:ext uri="{28A0092B-C50C-407E-A947-70E740481C1C}">
                          <a14:useLocalDpi xmlns:a14="http://schemas.microsoft.com/office/drawing/2010/main" val="0"/>
                        </a:ext>
                      </a:extLst>
                    </a:blip>
                    <a:stretch>
                      <a:fillRect/>
                    </a:stretch>
                  </pic:blipFill>
                  <pic:spPr>
                    <a:xfrm>
                      <a:off x="0" y="0"/>
                      <a:ext cx="5279865" cy="3924300"/>
                    </a:xfrm>
                    <a:prstGeom prst="rect">
                      <a:avLst/>
                    </a:prstGeom>
                  </pic:spPr>
                </pic:pic>
              </a:graphicData>
            </a:graphic>
            <wp14:sizeRelH relativeFrom="page">
              <wp14:pctWidth>0</wp14:pctWidth>
            </wp14:sizeRelH>
            <wp14:sizeRelV relativeFrom="page">
              <wp14:pctHeight>0</wp14:pctHeight>
            </wp14:sizeRelV>
          </wp:anchor>
        </w:drawing>
      </w:r>
      <w:r>
        <w:t>Рисунок 5. Распределение дел (314), перенесенных с 2023 года и предыдущих лет</w:t>
      </w:r>
    </w:p>
    <w:p w14:paraId="5E57CF1C" w14:textId="1ED4150A" w:rsidR="00055BFC" w:rsidRDefault="00055BFC" w:rsidP="00055BFC">
      <w:pPr>
        <w:ind w:left="709"/>
        <w:jc w:val="center"/>
        <w:rPr>
          <w:lang w:val="cs-CZ"/>
        </w:rPr>
      </w:pPr>
    </w:p>
    <w:p w14:paraId="52B68623" w14:textId="02F0CBD1" w:rsidR="00055BFC" w:rsidRPr="00487076" w:rsidRDefault="00055BFC" w:rsidP="00055BFC">
      <w:pPr>
        <w:pStyle w:val="Subheading"/>
        <w:numPr>
          <w:ilvl w:val="0"/>
          <w:numId w:val="0"/>
        </w:numPr>
        <w:ind w:left="1260" w:hanging="551"/>
      </w:pPr>
      <w:r w:rsidRPr="00487076">
        <w:t>b.</w:t>
      </w:r>
      <w:r w:rsidRPr="00487076">
        <w:tab/>
      </w:r>
      <w:r>
        <w:t>Поступление дел в 2024 году</w:t>
      </w:r>
    </w:p>
    <w:p w14:paraId="3F44C8CD" w14:textId="238488EF" w:rsidR="00055BFC" w:rsidRPr="00487076" w:rsidRDefault="00055BFC" w:rsidP="00055BFC">
      <w:pPr>
        <w:pStyle w:val="Para1"/>
        <w:numPr>
          <w:ilvl w:val="0"/>
          <w:numId w:val="0"/>
        </w:numPr>
        <w:ind w:left="720" w:hanging="11"/>
      </w:pPr>
      <w:r w:rsidRPr="00487076">
        <w:t>73.</w:t>
      </w:r>
      <w:r w:rsidRPr="00487076">
        <w:tab/>
      </w:r>
      <w:r>
        <w:t>В дополнение к 314 перенесенным делам УАР зарегистрировало 366 новых дел в 2024 году. Из этих 366 новых дел 232 было зарегистрировано как непрофильное после первоначальной проверки и сортировки. Остальные 134 дел были открыты как новые. Число новых дел в 2024 году уменьшилось по сравнению с показателями 2023 года (167) и 2022 года (166), но значительно увеличилось по сравнению с количеством новых дел в 2021 году (118), 2020 году (116) и 2019 году (112).</w:t>
      </w:r>
    </w:p>
    <w:p w14:paraId="4CD84361" w14:textId="77777777" w:rsidR="00055BFC" w:rsidRPr="00487076" w:rsidRDefault="00055BFC" w:rsidP="00055BFC">
      <w:pPr>
        <w:pStyle w:val="Para1"/>
        <w:numPr>
          <w:ilvl w:val="0"/>
          <w:numId w:val="0"/>
        </w:numPr>
        <w:ind w:left="720" w:hanging="11"/>
      </w:pPr>
      <w:r w:rsidRPr="00487076">
        <w:t>74.</w:t>
      </w:r>
      <w:r w:rsidRPr="00487076">
        <w:tab/>
      </w:r>
      <w:r>
        <w:t>Из 134 новых открытых дел 73 дела (55 процентов) касались внутренних субъектов:</w:t>
      </w:r>
    </w:p>
    <w:p w14:paraId="1F9DB117" w14:textId="77777777" w:rsidR="00055BFC" w:rsidRPr="00487076" w:rsidRDefault="00055BFC" w:rsidP="00055BFC">
      <w:pPr>
        <w:pStyle w:val="Paraa"/>
        <w:numPr>
          <w:ilvl w:val="0"/>
          <w:numId w:val="0"/>
        </w:numPr>
        <w:ind w:left="720"/>
      </w:pPr>
      <w:r w:rsidRPr="00487076">
        <w:t>(a)</w:t>
      </w:r>
      <w:r w:rsidRPr="00487076">
        <w:tab/>
      </w:r>
      <w:r>
        <w:t>В 73 делах фигурировали сотрудники ЮНФПА (64 дела, 88 процентов); подрядчики (шесть дел, 8 процентов); в двух делах договорной статус сотрудников ЮНФПА был неизвестен (два дела, 3 процента); и доброволец Организации Объединенных Наций (один случай, 1 процент).</w:t>
      </w:r>
    </w:p>
    <w:p w14:paraId="7F9F7274" w14:textId="77777777" w:rsidR="00055BFC" w:rsidRPr="00487076" w:rsidRDefault="00055BFC" w:rsidP="00055BFC">
      <w:pPr>
        <w:pStyle w:val="Para1"/>
        <w:keepNext/>
        <w:numPr>
          <w:ilvl w:val="0"/>
          <w:numId w:val="0"/>
        </w:numPr>
        <w:ind w:left="720" w:right="43" w:hanging="14"/>
      </w:pPr>
      <w:r w:rsidRPr="00487076">
        <w:t>75.</w:t>
      </w:r>
      <w:r w:rsidRPr="00487076">
        <w:tab/>
      </w:r>
      <w:r>
        <w:t>51 новое дело (38 процентов) были связаны с обвинениями в адрес внешних лиц или организаций:</w:t>
      </w:r>
    </w:p>
    <w:p w14:paraId="22F6C7B3" w14:textId="77777777" w:rsidR="00055BFC" w:rsidRPr="00487076" w:rsidRDefault="00055BFC" w:rsidP="00055BFC">
      <w:pPr>
        <w:pStyle w:val="Paraa"/>
        <w:numPr>
          <w:ilvl w:val="0"/>
          <w:numId w:val="0"/>
        </w:numPr>
        <w:ind w:left="720"/>
      </w:pPr>
      <w:r w:rsidRPr="00487076">
        <w:t>(a)</w:t>
      </w:r>
      <w:r w:rsidRPr="00487076">
        <w:tab/>
      </w:r>
      <w:r>
        <w:t xml:space="preserve">В 51 деле фигурировали партнеры-исполнители и их сотрудники (34 дела, 66 процентов); поставщики (8 дел, 16 процентов); консультанты и бывшие консультанты (5 дел, 10 процентов); и бывшие сотрудники ЮНФПА (4 дела, 8 процентов). </w:t>
      </w:r>
    </w:p>
    <w:p w14:paraId="7057E5BB" w14:textId="77777777" w:rsidR="00055BFC" w:rsidRPr="00487076" w:rsidRDefault="00055BFC" w:rsidP="00055BFC">
      <w:pPr>
        <w:pStyle w:val="Para1"/>
        <w:numPr>
          <w:ilvl w:val="0"/>
          <w:numId w:val="0"/>
        </w:numPr>
        <w:ind w:left="720" w:hanging="11"/>
      </w:pPr>
      <w:r w:rsidRPr="00487076">
        <w:t>76.</w:t>
      </w:r>
      <w:r w:rsidRPr="00487076">
        <w:tab/>
      </w:r>
      <w:r>
        <w:t>10 новых дел (7 процентов) касались субъекта, которого невозможно определить как внутреннего или внешнего по отношению к ЮНФПА. Количество неизвестных субъектов остается на уровне 2023 года (10 дел), однако по сравнению с предыдущими годами оно увеличилось, что отчасти объясняется тем, что с 2023 года УАР сосредоточилось на делах, связанных с незаконным перенаправлением продуктов/товаров. В делах о незаконном перенаправлении продуктов/товаров лицо, в отношении которого выдвигается обвинение, не всегда бывает сразу ясно определено.</w:t>
      </w:r>
    </w:p>
    <w:p w14:paraId="7715309D" w14:textId="77777777" w:rsidR="00055BFC" w:rsidRPr="00487076" w:rsidRDefault="00055BFC" w:rsidP="00055BFC">
      <w:pPr>
        <w:pStyle w:val="Para1"/>
        <w:numPr>
          <w:ilvl w:val="0"/>
          <w:numId w:val="0"/>
        </w:numPr>
        <w:ind w:left="720" w:hanging="11"/>
      </w:pPr>
      <w:r w:rsidRPr="00487076">
        <w:t>77.</w:t>
      </w:r>
      <w:r w:rsidRPr="00487076">
        <w:tab/>
      </w:r>
      <w:r>
        <w:t xml:space="preserve">В целом 15 (11 процентов) из 134 новых дел касались нынешних и бывших старших должностных лиц ЮНФПА на уровне P-5 и выше (см. рисунок 6 ниже). </w:t>
      </w:r>
    </w:p>
    <w:p w14:paraId="5760B1F1" w14:textId="77777777" w:rsidR="00055BFC" w:rsidRDefault="00055BFC" w:rsidP="00055BFC">
      <w:pPr>
        <w:pStyle w:val="Figure"/>
        <w:spacing w:line="360" w:lineRule="auto"/>
        <w:rPr>
          <w:lang w:val="cs-CZ"/>
        </w:rPr>
      </w:pPr>
      <w:bookmarkStart w:id="54" w:name="_Hlk132035437"/>
      <w:r>
        <w:t>Рисунок 6. Распределение 134 дел, полученных в 2024 году</w:t>
      </w:r>
    </w:p>
    <w:p w14:paraId="33974584" w14:textId="77777777" w:rsidR="00055BFC" w:rsidRPr="00FE4205" w:rsidRDefault="00055BFC" w:rsidP="00055BFC">
      <w:pPr>
        <w:pStyle w:val="Figure"/>
        <w:spacing w:after="240" w:line="360" w:lineRule="auto"/>
        <w:ind w:left="709" w:right="0"/>
        <w:rPr>
          <w:lang w:val="cs-CZ"/>
        </w:rPr>
      </w:pPr>
      <w:r>
        <w:rPr>
          <w:noProof/>
          <w:lang w:val="cs-CZ"/>
        </w:rPr>
        <w:drawing>
          <wp:inline distT="0" distB="0" distL="0" distR="0" wp14:anchorId="056D6E90" wp14:editId="52373CE3">
            <wp:extent cx="5241463" cy="4149725"/>
            <wp:effectExtent l="0" t="0" r="0" b="3175"/>
            <wp:docPr id="543274028" name="Obrázek 1" descr="Obsah obrázku text, snímek obrazovky, kruh,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274028" name="Obrázek 1" descr="Obsah obrázku text, snímek obrazovky, kruh, diagram&#10;&#10;Popis byl vytvořen automaticky"/>
                    <pic:cNvPicPr/>
                  </pic:nvPicPr>
                  <pic:blipFill>
                    <a:blip r:embed="rId31">
                      <a:extLst>
                        <a:ext uri="{28A0092B-C50C-407E-A947-70E740481C1C}">
                          <a14:useLocalDpi xmlns:a14="http://schemas.microsoft.com/office/drawing/2010/main" val="0"/>
                        </a:ext>
                      </a:extLst>
                    </a:blip>
                    <a:stretch>
                      <a:fillRect/>
                    </a:stretch>
                  </pic:blipFill>
                  <pic:spPr>
                    <a:xfrm>
                      <a:off x="0" y="0"/>
                      <a:ext cx="5260139" cy="4164511"/>
                    </a:xfrm>
                    <a:prstGeom prst="rect">
                      <a:avLst/>
                    </a:prstGeom>
                  </pic:spPr>
                </pic:pic>
              </a:graphicData>
            </a:graphic>
          </wp:inline>
        </w:drawing>
      </w:r>
    </w:p>
    <w:p w14:paraId="4D52B710" w14:textId="77777777" w:rsidR="00055BFC" w:rsidRDefault="00055BFC" w:rsidP="00055BFC">
      <w:pPr>
        <w:keepNext/>
        <w:keepLines/>
        <w:ind w:left="709"/>
        <w:jc w:val="center"/>
        <w:rPr>
          <w:b/>
          <w:lang w:val="cs-CZ"/>
        </w:rPr>
      </w:pPr>
      <w:bookmarkStart w:id="55" w:name="_Toc101201190"/>
      <w:bookmarkEnd w:id="54"/>
      <w:r>
        <w:rPr>
          <w:b/>
        </w:rPr>
        <w:t>Таблица 5. Категории дел, поступивших в производство, по годам</w:t>
      </w:r>
      <w:bookmarkEnd w:id="55"/>
    </w:p>
    <w:tbl>
      <w:tblPr>
        <w:tblW w:w="90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5"/>
        <w:gridCol w:w="1141"/>
        <w:gridCol w:w="1141"/>
        <w:gridCol w:w="1141"/>
        <w:gridCol w:w="1141"/>
        <w:gridCol w:w="1141"/>
        <w:gridCol w:w="1142"/>
      </w:tblGrid>
      <w:tr w:rsidR="00055BFC" w:rsidRPr="00487076" w14:paraId="03E56108" w14:textId="77777777" w:rsidTr="00B92127">
        <w:trPr>
          <w:trHeight w:val="303"/>
          <w:jc w:val="right"/>
        </w:trPr>
        <w:tc>
          <w:tcPr>
            <w:tcW w:w="901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45C00B" w14:textId="77777777" w:rsidR="00055BFC" w:rsidRPr="00487076" w:rsidRDefault="00055BFC" w:rsidP="00B92127">
            <w:pPr>
              <w:keepNext/>
              <w:keepLines/>
              <w:spacing w:line="240" w:lineRule="auto"/>
              <w:jc w:val="center"/>
              <w:rPr>
                <w:rFonts w:eastAsia="Times New Roman"/>
                <w:b/>
                <w:bCs/>
                <w:color w:val="000000"/>
                <w:sz w:val="18"/>
                <w:szCs w:val="18"/>
              </w:rPr>
            </w:pPr>
            <w:r>
              <w:rPr>
                <w:b/>
                <w:color w:val="000000"/>
                <w:sz w:val="18"/>
              </w:rPr>
              <w:t>Категории дел, поступивших в производство, за 2019–2024 гг.</w:t>
            </w:r>
          </w:p>
        </w:tc>
      </w:tr>
      <w:tr w:rsidR="00055BFC" w:rsidRPr="00487076" w14:paraId="17A1E630" w14:textId="77777777" w:rsidTr="00B92127">
        <w:trPr>
          <w:trHeight w:val="303"/>
          <w:jc w:val="right"/>
        </w:trPr>
        <w:tc>
          <w:tcPr>
            <w:tcW w:w="2165" w:type="dxa"/>
            <w:shd w:val="clear" w:color="auto" w:fill="F2F2F2" w:themeFill="background1" w:themeFillShade="F2"/>
            <w:vAlign w:val="center"/>
          </w:tcPr>
          <w:p w14:paraId="11C82D47" w14:textId="77777777" w:rsidR="00055BFC" w:rsidRPr="00487076" w:rsidRDefault="00055BFC" w:rsidP="00B92127">
            <w:pPr>
              <w:keepNext/>
              <w:keepLines/>
              <w:spacing w:line="240" w:lineRule="auto"/>
              <w:rPr>
                <w:rFonts w:eastAsia="Times New Roman"/>
                <w:b/>
                <w:bCs/>
                <w:color w:val="000000"/>
                <w:sz w:val="18"/>
                <w:szCs w:val="18"/>
              </w:rPr>
            </w:pPr>
            <w:r>
              <w:rPr>
                <w:b/>
                <w:color w:val="000000"/>
                <w:sz w:val="18"/>
              </w:rPr>
              <w:t>Категория обвинения</w:t>
            </w:r>
          </w:p>
        </w:tc>
        <w:tc>
          <w:tcPr>
            <w:tcW w:w="1141" w:type="dxa"/>
            <w:shd w:val="clear" w:color="auto" w:fill="F2F2F2" w:themeFill="background1" w:themeFillShade="F2"/>
            <w:vAlign w:val="center"/>
          </w:tcPr>
          <w:p w14:paraId="477DA734" w14:textId="77777777" w:rsidR="00055BFC" w:rsidRPr="00487076" w:rsidRDefault="00055BFC" w:rsidP="00B92127">
            <w:pPr>
              <w:keepNext/>
              <w:keepLines/>
              <w:spacing w:line="240" w:lineRule="auto"/>
              <w:jc w:val="center"/>
              <w:rPr>
                <w:rFonts w:eastAsia="Times New Roman"/>
                <w:b/>
                <w:bCs/>
                <w:color w:val="000000"/>
                <w:sz w:val="18"/>
                <w:szCs w:val="18"/>
              </w:rPr>
            </w:pPr>
            <w:r>
              <w:rPr>
                <w:b/>
                <w:color w:val="000000"/>
                <w:sz w:val="18"/>
              </w:rPr>
              <w:t>2019</w:t>
            </w:r>
          </w:p>
        </w:tc>
        <w:tc>
          <w:tcPr>
            <w:tcW w:w="1141" w:type="dxa"/>
            <w:shd w:val="clear" w:color="auto" w:fill="F2F2F2" w:themeFill="background1" w:themeFillShade="F2"/>
            <w:vAlign w:val="center"/>
          </w:tcPr>
          <w:p w14:paraId="3A844863" w14:textId="77777777" w:rsidR="00055BFC" w:rsidRPr="00487076" w:rsidRDefault="00055BFC" w:rsidP="00B92127">
            <w:pPr>
              <w:keepNext/>
              <w:keepLines/>
              <w:spacing w:line="240" w:lineRule="auto"/>
              <w:jc w:val="center"/>
              <w:rPr>
                <w:rFonts w:eastAsia="Times New Roman"/>
                <w:b/>
                <w:bCs/>
                <w:color w:val="000000"/>
                <w:sz w:val="18"/>
                <w:szCs w:val="18"/>
              </w:rPr>
            </w:pPr>
            <w:r>
              <w:rPr>
                <w:b/>
                <w:color w:val="000000"/>
                <w:sz w:val="18"/>
              </w:rPr>
              <w:t>2020</w:t>
            </w:r>
          </w:p>
        </w:tc>
        <w:tc>
          <w:tcPr>
            <w:tcW w:w="1141" w:type="dxa"/>
            <w:shd w:val="clear" w:color="auto" w:fill="F2F2F2" w:themeFill="background1" w:themeFillShade="F2"/>
            <w:vAlign w:val="center"/>
          </w:tcPr>
          <w:p w14:paraId="7FD9D747" w14:textId="77777777" w:rsidR="00055BFC" w:rsidRPr="00487076" w:rsidRDefault="00055BFC" w:rsidP="00B92127">
            <w:pPr>
              <w:keepNext/>
              <w:keepLines/>
              <w:spacing w:line="240" w:lineRule="auto"/>
              <w:jc w:val="center"/>
              <w:rPr>
                <w:rFonts w:eastAsia="Times New Roman"/>
                <w:b/>
                <w:bCs/>
                <w:color w:val="000000"/>
                <w:sz w:val="18"/>
                <w:szCs w:val="18"/>
              </w:rPr>
            </w:pPr>
            <w:r>
              <w:rPr>
                <w:b/>
                <w:color w:val="000000"/>
                <w:sz w:val="18"/>
              </w:rPr>
              <w:t>2021</w:t>
            </w:r>
          </w:p>
        </w:tc>
        <w:tc>
          <w:tcPr>
            <w:tcW w:w="1141" w:type="dxa"/>
            <w:shd w:val="clear" w:color="auto" w:fill="F2F2F2" w:themeFill="background1" w:themeFillShade="F2"/>
            <w:vAlign w:val="center"/>
          </w:tcPr>
          <w:p w14:paraId="6324AC69" w14:textId="77777777" w:rsidR="00055BFC" w:rsidRPr="00487076" w:rsidRDefault="00055BFC" w:rsidP="00B92127">
            <w:pPr>
              <w:keepNext/>
              <w:keepLines/>
              <w:spacing w:line="240" w:lineRule="auto"/>
              <w:jc w:val="center"/>
              <w:rPr>
                <w:rFonts w:eastAsia="Times New Roman"/>
                <w:b/>
                <w:bCs/>
                <w:color w:val="000000"/>
                <w:sz w:val="18"/>
                <w:szCs w:val="18"/>
              </w:rPr>
            </w:pPr>
            <w:r>
              <w:rPr>
                <w:b/>
                <w:color w:val="000000"/>
                <w:sz w:val="18"/>
              </w:rPr>
              <w:t>2022</w:t>
            </w:r>
          </w:p>
        </w:tc>
        <w:tc>
          <w:tcPr>
            <w:tcW w:w="1141" w:type="dxa"/>
            <w:shd w:val="clear" w:color="auto" w:fill="F2F2F2" w:themeFill="background1" w:themeFillShade="F2"/>
            <w:vAlign w:val="center"/>
          </w:tcPr>
          <w:p w14:paraId="10F72E76" w14:textId="77777777" w:rsidR="00055BFC" w:rsidRPr="00487076" w:rsidRDefault="00055BFC" w:rsidP="00B92127">
            <w:pPr>
              <w:keepNext/>
              <w:keepLines/>
              <w:spacing w:line="240" w:lineRule="auto"/>
              <w:jc w:val="center"/>
              <w:rPr>
                <w:rFonts w:eastAsia="Times New Roman"/>
                <w:b/>
                <w:bCs/>
                <w:color w:val="000000"/>
                <w:sz w:val="18"/>
                <w:szCs w:val="18"/>
              </w:rPr>
            </w:pPr>
            <w:r>
              <w:rPr>
                <w:b/>
                <w:color w:val="000000"/>
                <w:sz w:val="18"/>
              </w:rPr>
              <w:t>2023</w:t>
            </w:r>
          </w:p>
        </w:tc>
        <w:tc>
          <w:tcPr>
            <w:tcW w:w="1141" w:type="dxa"/>
            <w:shd w:val="clear" w:color="auto" w:fill="F2F2F2" w:themeFill="background1" w:themeFillShade="F2"/>
            <w:vAlign w:val="center"/>
          </w:tcPr>
          <w:p w14:paraId="75BE1112" w14:textId="77777777" w:rsidR="00055BFC" w:rsidRPr="00487076" w:rsidRDefault="00055BFC" w:rsidP="00B92127">
            <w:pPr>
              <w:keepNext/>
              <w:keepLines/>
              <w:spacing w:line="240" w:lineRule="auto"/>
              <w:jc w:val="center"/>
              <w:rPr>
                <w:rFonts w:eastAsia="Times New Roman"/>
                <w:b/>
                <w:bCs/>
                <w:color w:val="000000"/>
                <w:sz w:val="18"/>
                <w:szCs w:val="18"/>
              </w:rPr>
            </w:pPr>
            <w:r>
              <w:rPr>
                <w:b/>
                <w:color w:val="000000"/>
                <w:sz w:val="18"/>
              </w:rPr>
              <w:t>2024</w:t>
            </w:r>
          </w:p>
        </w:tc>
      </w:tr>
      <w:tr w:rsidR="00055BFC" w:rsidRPr="00487076" w14:paraId="133A1459" w14:textId="77777777" w:rsidTr="00B92127">
        <w:trPr>
          <w:trHeight w:val="303"/>
          <w:jc w:val="right"/>
        </w:trPr>
        <w:tc>
          <w:tcPr>
            <w:tcW w:w="2165" w:type="dxa"/>
            <w:shd w:val="clear" w:color="auto" w:fill="FFFFFF"/>
            <w:vAlign w:val="center"/>
          </w:tcPr>
          <w:p w14:paraId="390882A6" w14:textId="77777777" w:rsidR="00055BFC" w:rsidRPr="00487076" w:rsidRDefault="00055BFC" w:rsidP="00B92127">
            <w:pPr>
              <w:keepNext/>
              <w:keepLines/>
              <w:spacing w:line="240" w:lineRule="auto"/>
              <w:rPr>
                <w:rFonts w:eastAsia="Times New Roman"/>
                <w:bCs/>
                <w:color w:val="000000"/>
                <w:sz w:val="18"/>
                <w:szCs w:val="18"/>
              </w:rPr>
            </w:pPr>
            <w:r>
              <w:rPr>
                <w:sz w:val="18"/>
              </w:rPr>
              <w:t>Мошенничество и финансовые нарушения</w:t>
            </w:r>
          </w:p>
        </w:tc>
        <w:tc>
          <w:tcPr>
            <w:tcW w:w="1141" w:type="dxa"/>
            <w:shd w:val="clear" w:color="auto" w:fill="FFFFFF"/>
            <w:vAlign w:val="center"/>
          </w:tcPr>
          <w:p w14:paraId="1688F186" w14:textId="77777777" w:rsidR="00055BFC" w:rsidRPr="00487076" w:rsidRDefault="00055BFC" w:rsidP="00B92127">
            <w:pPr>
              <w:keepNext/>
              <w:keepLines/>
              <w:spacing w:line="240" w:lineRule="auto"/>
              <w:jc w:val="center"/>
              <w:rPr>
                <w:rFonts w:eastAsia="Times New Roman"/>
                <w:bCs/>
                <w:color w:val="000000"/>
                <w:sz w:val="18"/>
                <w:szCs w:val="18"/>
              </w:rPr>
            </w:pPr>
            <w:r>
              <w:rPr>
                <w:sz w:val="18"/>
              </w:rPr>
              <w:t>62</w:t>
            </w:r>
          </w:p>
        </w:tc>
        <w:tc>
          <w:tcPr>
            <w:tcW w:w="1141" w:type="dxa"/>
            <w:shd w:val="clear" w:color="auto" w:fill="FFFFFF"/>
            <w:vAlign w:val="center"/>
          </w:tcPr>
          <w:p w14:paraId="1EA665A4" w14:textId="77777777" w:rsidR="00055BFC" w:rsidRPr="00487076" w:rsidRDefault="00055BFC" w:rsidP="00B92127">
            <w:pPr>
              <w:keepNext/>
              <w:keepLines/>
              <w:spacing w:line="240" w:lineRule="auto"/>
              <w:jc w:val="center"/>
              <w:rPr>
                <w:rFonts w:eastAsia="Times New Roman"/>
                <w:bCs/>
                <w:color w:val="000000"/>
                <w:sz w:val="18"/>
                <w:szCs w:val="18"/>
              </w:rPr>
            </w:pPr>
            <w:r>
              <w:rPr>
                <w:sz w:val="18"/>
              </w:rPr>
              <w:t>61</w:t>
            </w:r>
          </w:p>
        </w:tc>
        <w:tc>
          <w:tcPr>
            <w:tcW w:w="1141" w:type="dxa"/>
            <w:shd w:val="clear" w:color="auto" w:fill="FFFFFF"/>
            <w:vAlign w:val="center"/>
          </w:tcPr>
          <w:p w14:paraId="709614C0" w14:textId="77777777" w:rsidR="00055BFC" w:rsidRPr="00487076" w:rsidRDefault="00055BFC" w:rsidP="00B92127">
            <w:pPr>
              <w:keepNext/>
              <w:keepLines/>
              <w:spacing w:line="240" w:lineRule="auto"/>
              <w:jc w:val="center"/>
              <w:rPr>
                <w:rFonts w:eastAsia="Times New Roman"/>
                <w:bCs/>
                <w:color w:val="000000"/>
                <w:sz w:val="18"/>
                <w:szCs w:val="18"/>
              </w:rPr>
            </w:pPr>
            <w:r>
              <w:rPr>
                <w:sz w:val="18"/>
              </w:rPr>
              <w:t>45</w:t>
            </w:r>
          </w:p>
        </w:tc>
        <w:tc>
          <w:tcPr>
            <w:tcW w:w="1141" w:type="dxa"/>
            <w:shd w:val="clear" w:color="auto" w:fill="FFFFFF"/>
            <w:vAlign w:val="center"/>
          </w:tcPr>
          <w:p w14:paraId="48A6F13A" w14:textId="77777777" w:rsidR="00055BFC" w:rsidRPr="00487076" w:rsidRDefault="00055BFC" w:rsidP="00B92127">
            <w:pPr>
              <w:keepNext/>
              <w:keepLines/>
              <w:spacing w:line="240" w:lineRule="auto"/>
              <w:jc w:val="center"/>
              <w:rPr>
                <w:sz w:val="18"/>
                <w:szCs w:val="18"/>
              </w:rPr>
            </w:pPr>
            <w:r>
              <w:rPr>
                <w:sz w:val="18"/>
              </w:rPr>
              <w:t>64</w:t>
            </w:r>
          </w:p>
        </w:tc>
        <w:tc>
          <w:tcPr>
            <w:tcW w:w="1141" w:type="dxa"/>
            <w:shd w:val="clear" w:color="auto" w:fill="FFFFFF"/>
            <w:vAlign w:val="center"/>
          </w:tcPr>
          <w:p w14:paraId="47811211" w14:textId="77777777" w:rsidR="00055BFC" w:rsidRPr="00487076" w:rsidRDefault="00055BFC" w:rsidP="00B92127">
            <w:pPr>
              <w:keepNext/>
              <w:keepLines/>
              <w:spacing w:line="240" w:lineRule="auto"/>
              <w:jc w:val="center"/>
              <w:rPr>
                <w:sz w:val="18"/>
                <w:szCs w:val="18"/>
              </w:rPr>
            </w:pPr>
            <w:r>
              <w:rPr>
                <w:sz w:val="18"/>
              </w:rPr>
              <w:t>78</w:t>
            </w:r>
          </w:p>
        </w:tc>
        <w:tc>
          <w:tcPr>
            <w:tcW w:w="1141" w:type="dxa"/>
            <w:shd w:val="clear" w:color="auto" w:fill="FFFFFF"/>
            <w:vAlign w:val="center"/>
          </w:tcPr>
          <w:p w14:paraId="3D9EE167" w14:textId="77777777" w:rsidR="00055BFC" w:rsidRPr="00487076" w:rsidRDefault="00055BFC" w:rsidP="00B92127">
            <w:pPr>
              <w:keepNext/>
              <w:keepLines/>
              <w:spacing w:line="240" w:lineRule="auto"/>
              <w:jc w:val="center"/>
              <w:rPr>
                <w:sz w:val="18"/>
                <w:szCs w:val="18"/>
              </w:rPr>
            </w:pPr>
            <w:r>
              <w:rPr>
                <w:sz w:val="18"/>
              </w:rPr>
              <w:t>72</w:t>
            </w:r>
          </w:p>
        </w:tc>
      </w:tr>
      <w:tr w:rsidR="00055BFC" w:rsidRPr="00487076" w14:paraId="09FE05E0" w14:textId="77777777" w:rsidTr="00B92127">
        <w:trPr>
          <w:trHeight w:val="303"/>
          <w:jc w:val="right"/>
        </w:trPr>
        <w:tc>
          <w:tcPr>
            <w:tcW w:w="2165" w:type="dxa"/>
            <w:shd w:val="clear" w:color="auto" w:fill="FFFFFF"/>
            <w:vAlign w:val="center"/>
          </w:tcPr>
          <w:p w14:paraId="362B4B56" w14:textId="77777777" w:rsidR="00055BFC" w:rsidRPr="00487076" w:rsidRDefault="00055BFC" w:rsidP="00B92127">
            <w:pPr>
              <w:keepNext/>
              <w:keepLines/>
              <w:spacing w:line="240" w:lineRule="auto"/>
              <w:rPr>
                <w:rFonts w:eastAsia="Times New Roman"/>
                <w:iCs/>
                <w:color w:val="000000"/>
                <w:sz w:val="18"/>
                <w:szCs w:val="18"/>
              </w:rPr>
            </w:pPr>
            <w:r>
              <w:rPr>
                <w:sz w:val="18"/>
              </w:rPr>
              <w:t>Запрещенное поведение</w:t>
            </w:r>
          </w:p>
        </w:tc>
        <w:tc>
          <w:tcPr>
            <w:tcW w:w="1141" w:type="dxa"/>
            <w:shd w:val="clear" w:color="auto" w:fill="FFFFFF"/>
            <w:vAlign w:val="center"/>
          </w:tcPr>
          <w:p w14:paraId="35F5F424" w14:textId="77777777" w:rsidR="00055BFC" w:rsidRPr="00487076" w:rsidRDefault="00055BFC" w:rsidP="00B92127">
            <w:pPr>
              <w:keepNext/>
              <w:keepLines/>
              <w:spacing w:line="240" w:lineRule="auto"/>
              <w:jc w:val="center"/>
              <w:rPr>
                <w:rFonts w:eastAsia="Times New Roman"/>
                <w:iCs/>
                <w:color w:val="000000"/>
                <w:sz w:val="18"/>
                <w:szCs w:val="18"/>
              </w:rPr>
            </w:pPr>
            <w:r>
              <w:rPr>
                <w:sz w:val="18"/>
              </w:rPr>
              <w:t>20</w:t>
            </w:r>
          </w:p>
        </w:tc>
        <w:tc>
          <w:tcPr>
            <w:tcW w:w="1141" w:type="dxa"/>
            <w:shd w:val="clear" w:color="auto" w:fill="FFFFFF"/>
            <w:vAlign w:val="center"/>
          </w:tcPr>
          <w:p w14:paraId="37A3D103" w14:textId="77777777" w:rsidR="00055BFC" w:rsidRPr="00487076" w:rsidRDefault="00055BFC" w:rsidP="00B92127">
            <w:pPr>
              <w:keepNext/>
              <w:keepLines/>
              <w:spacing w:line="240" w:lineRule="auto"/>
              <w:jc w:val="center"/>
              <w:rPr>
                <w:rFonts w:eastAsia="Times New Roman"/>
                <w:iCs/>
                <w:color w:val="000000"/>
                <w:sz w:val="18"/>
                <w:szCs w:val="18"/>
              </w:rPr>
            </w:pPr>
            <w:r>
              <w:rPr>
                <w:sz w:val="18"/>
              </w:rPr>
              <w:t>17</w:t>
            </w:r>
          </w:p>
        </w:tc>
        <w:tc>
          <w:tcPr>
            <w:tcW w:w="1141" w:type="dxa"/>
            <w:shd w:val="clear" w:color="auto" w:fill="FFFFFF"/>
            <w:vAlign w:val="center"/>
          </w:tcPr>
          <w:p w14:paraId="229621F4" w14:textId="77777777" w:rsidR="00055BFC" w:rsidRPr="00487076" w:rsidRDefault="00055BFC" w:rsidP="00B92127">
            <w:pPr>
              <w:keepNext/>
              <w:keepLines/>
              <w:spacing w:line="240" w:lineRule="auto"/>
              <w:jc w:val="center"/>
              <w:rPr>
                <w:rFonts w:eastAsia="Times New Roman"/>
                <w:iCs/>
                <w:color w:val="000000"/>
                <w:sz w:val="18"/>
                <w:szCs w:val="18"/>
              </w:rPr>
            </w:pPr>
            <w:r>
              <w:rPr>
                <w:sz w:val="18"/>
              </w:rPr>
              <w:t>26</w:t>
            </w:r>
          </w:p>
        </w:tc>
        <w:tc>
          <w:tcPr>
            <w:tcW w:w="1141" w:type="dxa"/>
            <w:shd w:val="clear" w:color="auto" w:fill="FFFFFF"/>
            <w:vAlign w:val="center"/>
          </w:tcPr>
          <w:p w14:paraId="74A15A84" w14:textId="77777777" w:rsidR="00055BFC" w:rsidRPr="00487076" w:rsidRDefault="00055BFC" w:rsidP="00B92127">
            <w:pPr>
              <w:keepNext/>
              <w:keepLines/>
              <w:spacing w:line="240" w:lineRule="auto"/>
              <w:jc w:val="center"/>
              <w:rPr>
                <w:sz w:val="18"/>
                <w:szCs w:val="18"/>
              </w:rPr>
            </w:pPr>
            <w:r>
              <w:rPr>
                <w:sz w:val="18"/>
              </w:rPr>
              <w:t>41</w:t>
            </w:r>
          </w:p>
        </w:tc>
        <w:tc>
          <w:tcPr>
            <w:tcW w:w="1141" w:type="dxa"/>
            <w:shd w:val="clear" w:color="auto" w:fill="FFFFFF"/>
            <w:vAlign w:val="center"/>
          </w:tcPr>
          <w:p w14:paraId="6D1A61BA" w14:textId="77777777" w:rsidR="00055BFC" w:rsidRPr="00487076" w:rsidRDefault="00055BFC" w:rsidP="00B92127">
            <w:pPr>
              <w:keepNext/>
              <w:keepLines/>
              <w:spacing w:line="240" w:lineRule="auto"/>
              <w:jc w:val="center"/>
              <w:rPr>
                <w:sz w:val="18"/>
                <w:szCs w:val="18"/>
              </w:rPr>
            </w:pPr>
            <w:r>
              <w:rPr>
                <w:sz w:val="18"/>
              </w:rPr>
              <w:t>30</w:t>
            </w:r>
          </w:p>
        </w:tc>
        <w:tc>
          <w:tcPr>
            <w:tcW w:w="1141" w:type="dxa"/>
            <w:shd w:val="clear" w:color="auto" w:fill="FFFFFF"/>
            <w:vAlign w:val="center"/>
          </w:tcPr>
          <w:p w14:paraId="28240C71" w14:textId="77777777" w:rsidR="00055BFC" w:rsidRPr="00487076" w:rsidRDefault="00055BFC" w:rsidP="00B92127">
            <w:pPr>
              <w:keepNext/>
              <w:keepLines/>
              <w:spacing w:line="240" w:lineRule="auto"/>
              <w:jc w:val="center"/>
              <w:rPr>
                <w:sz w:val="18"/>
                <w:szCs w:val="18"/>
              </w:rPr>
            </w:pPr>
            <w:r>
              <w:rPr>
                <w:sz w:val="18"/>
              </w:rPr>
              <w:t>18</w:t>
            </w:r>
          </w:p>
        </w:tc>
      </w:tr>
      <w:tr w:rsidR="00055BFC" w:rsidRPr="00487076" w14:paraId="7E0FD1C9" w14:textId="77777777" w:rsidTr="00B92127">
        <w:trPr>
          <w:trHeight w:val="303"/>
          <w:jc w:val="right"/>
        </w:trPr>
        <w:tc>
          <w:tcPr>
            <w:tcW w:w="2165" w:type="dxa"/>
            <w:shd w:val="clear" w:color="auto" w:fill="FFFFFF"/>
            <w:vAlign w:val="center"/>
          </w:tcPr>
          <w:p w14:paraId="7134060A" w14:textId="77777777" w:rsidR="00055BFC" w:rsidRPr="00487076" w:rsidRDefault="00055BFC" w:rsidP="00B92127">
            <w:pPr>
              <w:keepNext/>
              <w:keepLines/>
              <w:spacing w:line="240" w:lineRule="auto"/>
              <w:rPr>
                <w:rFonts w:eastAsia="Times New Roman"/>
                <w:iCs/>
                <w:color w:val="000000"/>
                <w:sz w:val="18"/>
                <w:szCs w:val="18"/>
              </w:rPr>
            </w:pPr>
            <w:r>
              <w:rPr>
                <w:sz w:val="18"/>
              </w:rPr>
              <w:t>Сексуальное преследование</w:t>
            </w:r>
          </w:p>
        </w:tc>
        <w:tc>
          <w:tcPr>
            <w:tcW w:w="1141" w:type="dxa"/>
            <w:shd w:val="clear" w:color="auto" w:fill="FFFFFF"/>
            <w:vAlign w:val="center"/>
          </w:tcPr>
          <w:p w14:paraId="73D89927" w14:textId="77777777" w:rsidR="00055BFC" w:rsidRPr="00487076" w:rsidRDefault="00055BFC" w:rsidP="00B92127">
            <w:pPr>
              <w:keepNext/>
              <w:keepLines/>
              <w:spacing w:line="240" w:lineRule="auto"/>
              <w:jc w:val="center"/>
              <w:rPr>
                <w:rFonts w:eastAsia="Times New Roman"/>
                <w:iCs/>
                <w:color w:val="000000"/>
                <w:sz w:val="18"/>
                <w:szCs w:val="18"/>
              </w:rPr>
            </w:pPr>
            <w:r>
              <w:rPr>
                <w:sz w:val="18"/>
              </w:rPr>
              <w:t>19</w:t>
            </w:r>
          </w:p>
        </w:tc>
        <w:tc>
          <w:tcPr>
            <w:tcW w:w="1141" w:type="dxa"/>
            <w:shd w:val="clear" w:color="auto" w:fill="FFFFFF"/>
            <w:vAlign w:val="center"/>
          </w:tcPr>
          <w:p w14:paraId="5778602F" w14:textId="77777777" w:rsidR="00055BFC" w:rsidRPr="00487076" w:rsidRDefault="00055BFC" w:rsidP="00B92127">
            <w:pPr>
              <w:keepNext/>
              <w:keepLines/>
              <w:spacing w:line="240" w:lineRule="auto"/>
              <w:jc w:val="center"/>
              <w:rPr>
                <w:rFonts w:eastAsia="Times New Roman"/>
                <w:iCs/>
                <w:color w:val="000000"/>
                <w:sz w:val="18"/>
                <w:szCs w:val="18"/>
              </w:rPr>
            </w:pPr>
            <w:r>
              <w:rPr>
                <w:sz w:val="18"/>
              </w:rPr>
              <w:t>23</w:t>
            </w:r>
          </w:p>
        </w:tc>
        <w:tc>
          <w:tcPr>
            <w:tcW w:w="1141" w:type="dxa"/>
            <w:shd w:val="clear" w:color="auto" w:fill="FFFFFF"/>
            <w:vAlign w:val="center"/>
          </w:tcPr>
          <w:p w14:paraId="400EBE05" w14:textId="77777777" w:rsidR="00055BFC" w:rsidRPr="00487076" w:rsidRDefault="00055BFC" w:rsidP="00B92127">
            <w:pPr>
              <w:keepNext/>
              <w:keepLines/>
              <w:spacing w:line="240" w:lineRule="auto"/>
              <w:jc w:val="center"/>
              <w:rPr>
                <w:rFonts w:eastAsia="Times New Roman"/>
                <w:iCs/>
                <w:color w:val="000000"/>
                <w:sz w:val="18"/>
                <w:szCs w:val="18"/>
              </w:rPr>
            </w:pPr>
            <w:r>
              <w:rPr>
                <w:sz w:val="18"/>
              </w:rPr>
              <w:t>20</w:t>
            </w:r>
          </w:p>
        </w:tc>
        <w:tc>
          <w:tcPr>
            <w:tcW w:w="1141" w:type="dxa"/>
            <w:shd w:val="clear" w:color="auto" w:fill="FFFFFF"/>
            <w:vAlign w:val="center"/>
          </w:tcPr>
          <w:p w14:paraId="109CA295" w14:textId="77777777" w:rsidR="00055BFC" w:rsidRPr="00487076" w:rsidRDefault="00055BFC" w:rsidP="00B92127">
            <w:pPr>
              <w:keepNext/>
              <w:keepLines/>
              <w:spacing w:line="240" w:lineRule="auto"/>
              <w:jc w:val="center"/>
              <w:rPr>
                <w:sz w:val="18"/>
                <w:szCs w:val="18"/>
              </w:rPr>
            </w:pPr>
            <w:r>
              <w:rPr>
                <w:sz w:val="18"/>
              </w:rPr>
              <w:t>26</w:t>
            </w:r>
          </w:p>
        </w:tc>
        <w:tc>
          <w:tcPr>
            <w:tcW w:w="1141" w:type="dxa"/>
            <w:shd w:val="clear" w:color="auto" w:fill="FFFFFF"/>
            <w:vAlign w:val="center"/>
          </w:tcPr>
          <w:p w14:paraId="6415DCA8" w14:textId="77777777" w:rsidR="00055BFC" w:rsidRPr="00487076" w:rsidRDefault="00055BFC" w:rsidP="00B92127">
            <w:pPr>
              <w:keepNext/>
              <w:keepLines/>
              <w:spacing w:line="240" w:lineRule="auto"/>
              <w:jc w:val="center"/>
              <w:rPr>
                <w:sz w:val="18"/>
                <w:szCs w:val="18"/>
              </w:rPr>
            </w:pPr>
            <w:r>
              <w:rPr>
                <w:sz w:val="18"/>
              </w:rPr>
              <w:t>37</w:t>
            </w:r>
          </w:p>
        </w:tc>
        <w:tc>
          <w:tcPr>
            <w:tcW w:w="1141" w:type="dxa"/>
            <w:shd w:val="clear" w:color="auto" w:fill="FFFFFF"/>
            <w:vAlign w:val="center"/>
          </w:tcPr>
          <w:p w14:paraId="35BF1184" w14:textId="77777777" w:rsidR="00055BFC" w:rsidRPr="00487076" w:rsidRDefault="00055BFC" w:rsidP="00B92127">
            <w:pPr>
              <w:keepNext/>
              <w:keepLines/>
              <w:spacing w:line="240" w:lineRule="auto"/>
              <w:jc w:val="center"/>
              <w:rPr>
                <w:sz w:val="18"/>
                <w:szCs w:val="18"/>
              </w:rPr>
            </w:pPr>
            <w:r>
              <w:rPr>
                <w:sz w:val="18"/>
              </w:rPr>
              <w:t>27</w:t>
            </w:r>
          </w:p>
        </w:tc>
      </w:tr>
      <w:tr w:rsidR="00055BFC" w:rsidRPr="00487076" w14:paraId="57F9310D" w14:textId="77777777" w:rsidTr="00B92127">
        <w:trPr>
          <w:trHeight w:val="303"/>
          <w:jc w:val="right"/>
        </w:trPr>
        <w:tc>
          <w:tcPr>
            <w:tcW w:w="2165" w:type="dxa"/>
            <w:shd w:val="clear" w:color="auto" w:fill="FFFFFF"/>
            <w:vAlign w:val="center"/>
          </w:tcPr>
          <w:p w14:paraId="3FF00E3F" w14:textId="77777777" w:rsidR="00055BFC" w:rsidRPr="00487076" w:rsidRDefault="00055BFC" w:rsidP="00B92127">
            <w:pPr>
              <w:keepNext/>
              <w:keepLines/>
              <w:spacing w:line="240" w:lineRule="auto"/>
              <w:rPr>
                <w:rFonts w:eastAsia="Times New Roman"/>
                <w:iCs/>
                <w:color w:val="000000"/>
                <w:sz w:val="18"/>
                <w:szCs w:val="18"/>
              </w:rPr>
            </w:pPr>
            <w:r>
              <w:rPr>
                <w:sz w:val="18"/>
              </w:rPr>
              <w:t>Преследование</w:t>
            </w:r>
          </w:p>
        </w:tc>
        <w:tc>
          <w:tcPr>
            <w:tcW w:w="1141" w:type="dxa"/>
            <w:shd w:val="clear" w:color="auto" w:fill="FFFFFF"/>
            <w:vAlign w:val="center"/>
          </w:tcPr>
          <w:p w14:paraId="775F5509" w14:textId="77777777" w:rsidR="00055BFC" w:rsidRPr="00487076" w:rsidRDefault="00055BFC" w:rsidP="00B92127">
            <w:pPr>
              <w:keepNext/>
              <w:keepLines/>
              <w:spacing w:line="240" w:lineRule="auto"/>
              <w:jc w:val="center"/>
              <w:rPr>
                <w:rFonts w:eastAsia="Times New Roman"/>
                <w:iCs/>
                <w:color w:val="000000"/>
                <w:sz w:val="18"/>
                <w:szCs w:val="18"/>
              </w:rPr>
            </w:pPr>
            <w:r>
              <w:rPr>
                <w:sz w:val="18"/>
              </w:rPr>
              <w:t>1</w:t>
            </w:r>
          </w:p>
        </w:tc>
        <w:tc>
          <w:tcPr>
            <w:tcW w:w="1141" w:type="dxa"/>
            <w:shd w:val="clear" w:color="auto" w:fill="FFFFFF"/>
            <w:vAlign w:val="center"/>
          </w:tcPr>
          <w:p w14:paraId="1F4E256B" w14:textId="77777777" w:rsidR="00055BFC" w:rsidRPr="00487076" w:rsidRDefault="00055BFC" w:rsidP="00B92127">
            <w:pPr>
              <w:keepNext/>
              <w:keepLines/>
              <w:spacing w:line="240" w:lineRule="auto"/>
              <w:jc w:val="center"/>
              <w:rPr>
                <w:rFonts w:eastAsia="Times New Roman"/>
                <w:iCs/>
                <w:color w:val="000000"/>
                <w:sz w:val="18"/>
                <w:szCs w:val="18"/>
              </w:rPr>
            </w:pPr>
            <w:r>
              <w:rPr>
                <w:sz w:val="18"/>
              </w:rPr>
              <w:t>1</w:t>
            </w:r>
          </w:p>
        </w:tc>
        <w:tc>
          <w:tcPr>
            <w:tcW w:w="1141" w:type="dxa"/>
            <w:shd w:val="clear" w:color="auto" w:fill="FFFFFF"/>
            <w:vAlign w:val="center"/>
          </w:tcPr>
          <w:p w14:paraId="13FE4A1F" w14:textId="77777777" w:rsidR="00055BFC" w:rsidRPr="00487076" w:rsidRDefault="00055BFC" w:rsidP="00B92127">
            <w:pPr>
              <w:keepNext/>
              <w:keepLines/>
              <w:spacing w:line="240" w:lineRule="auto"/>
              <w:jc w:val="center"/>
              <w:rPr>
                <w:rFonts w:eastAsia="Times New Roman"/>
                <w:iCs/>
                <w:color w:val="000000"/>
                <w:sz w:val="18"/>
                <w:szCs w:val="18"/>
              </w:rPr>
            </w:pPr>
            <w:r>
              <w:rPr>
                <w:sz w:val="18"/>
              </w:rPr>
              <w:t>3</w:t>
            </w:r>
          </w:p>
        </w:tc>
        <w:tc>
          <w:tcPr>
            <w:tcW w:w="1141" w:type="dxa"/>
            <w:shd w:val="clear" w:color="auto" w:fill="FFFFFF"/>
            <w:vAlign w:val="center"/>
          </w:tcPr>
          <w:p w14:paraId="1D6E4F58" w14:textId="77777777" w:rsidR="00055BFC" w:rsidRPr="00487076" w:rsidRDefault="00055BFC" w:rsidP="00B92127">
            <w:pPr>
              <w:keepNext/>
              <w:keepLines/>
              <w:spacing w:line="240" w:lineRule="auto"/>
              <w:jc w:val="center"/>
              <w:rPr>
                <w:sz w:val="18"/>
                <w:szCs w:val="18"/>
              </w:rPr>
            </w:pPr>
            <w:r>
              <w:rPr>
                <w:sz w:val="18"/>
              </w:rPr>
              <w:t>8</w:t>
            </w:r>
          </w:p>
        </w:tc>
        <w:tc>
          <w:tcPr>
            <w:tcW w:w="1141" w:type="dxa"/>
            <w:shd w:val="clear" w:color="auto" w:fill="FFFFFF"/>
            <w:vAlign w:val="center"/>
          </w:tcPr>
          <w:p w14:paraId="2BE6B2C5" w14:textId="77777777" w:rsidR="00055BFC" w:rsidRPr="00487076" w:rsidRDefault="00055BFC" w:rsidP="00B92127">
            <w:pPr>
              <w:keepNext/>
              <w:keepLines/>
              <w:spacing w:line="240" w:lineRule="auto"/>
              <w:jc w:val="center"/>
              <w:rPr>
                <w:sz w:val="18"/>
                <w:szCs w:val="18"/>
              </w:rPr>
            </w:pPr>
            <w:r>
              <w:rPr>
                <w:sz w:val="18"/>
              </w:rPr>
              <w:t>1</w:t>
            </w:r>
          </w:p>
        </w:tc>
        <w:tc>
          <w:tcPr>
            <w:tcW w:w="1141" w:type="dxa"/>
            <w:shd w:val="clear" w:color="auto" w:fill="FFFFFF"/>
            <w:vAlign w:val="center"/>
          </w:tcPr>
          <w:p w14:paraId="4C64F433" w14:textId="77777777" w:rsidR="00055BFC" w:rsidRPr="00487076" w:rsidRDefault="00055BFC" w:rsidP="00B92127">
            <w:pPr>
              <w:keepNext/>
              <w:keepLines/>
              <w:spacing w:line="240" w:lineRule="auto"/>
              <w:jc w:val="center"/>
              <w:rPr>
                <w:sz w:val="18"/>
                <w:szCs w:val="18"/>
              </w:rPr>
            </w:pPr>
            <w:r>
              <w:rPr>
                <w:sz w:val="18"/>
              </w:rPr>
              <w:t>3</w:t>
            </w:r>
          </w:p>
        </w:tc>
      </w:tr>
      <w:tr w:rsidR="00055BFC" w:rsidRPr="00487076" w14:paraId="75D8B1DB" w14:textId="77777777" w:rsidTr="00B92127">
        <w:trPr>
          <w:trHeight w:val="303"/>
          <w:jc w:val="right"/>
        </w:trPr>
        <w:tc>
          <w:tcPr>
            <w:tcW w:w="2165" w:type="dxa"/>
            <w:tcBorders>
              <w:bottom w:val="single" w:sz="4" w:space="0" w:color="auto"/>
            </w:tcBorders>
            <w:shd w:val="clear" w:color="auto" w:fill="auto"/>
            <w:vAlign w:val="center"/>
          </w:tcPr>
          <w:p w14:paraId="0DDBA87A" w14:textId="77777777" w:rsidR="00055BFC" w:rsidRPr="00487076" w:rsidRDefault="00055BFC" w:rsidP="00B92127">
            <w:pPr>
              <w:keepNext/>
              <w:keepLines/>
              <w:spacing w:line="240" w:lineRule="auto"/>
              <w:rPr>
                <w:rFonts w:eastAsia="Times New Roman"/>
                <w:b/>
                <w:bCs/>
                <w:color w:val="000000"/>
                <w:sz w:val="18"/>
                <w:szCs w:val="18"/>
              </w:rPr>
            </w:pPr>
            <w:r>
              <w:rPr>
                <w:sz w:val="18"/>
              </w:rPr>
              <w:t>Прочие нарушения</w:t>
            </w:r>
          </w:p>
        </w:tc>
        <w:tc>
          <w:tcPr>
            <w:tcW w:w="1141" w:type="dxa"/>
            <w:tcBorders>
              <w:bottom w:val="single" w:sz="4" w:space="0" w:color="auto"/>
            </w:tcBorders>
            <w:shd w:val="clear" w:color="auto" w:fill="auto"/>
            <w:vAlign w:val="center"/>
          </w:tcPr>
          <w:p w14:paraId="3EDB0140" w14:textId="77777777" w:rsidR="00055BFC" w:rsidRPr="00487076" w:rsidRDefault="00055BFC" w:rsidP="00B92127">
            <w:pPr>
              <w:keepNext/>
              <w:keepLines/>
              <w:spacing w:line="240" w:lineRule="auto"/>
              <w:jc w:val="center"/>
              <w:rPr>
                <w:rFonts w:eastAsia="Times New Roman"/>
                <w:b/>
                <w:bCs/>
                <w:color w:val="000000"/>
                <w:sz w:val="18"/>
                <w:szCs w:val="18"/>
              </w:rPr>
            </w:pPr>
            <w:r>
              <w:rPr>
                <w:sz w:val="18"/>
              </w:rPr>
              <w:t>10</w:t>
            </w:r>
          </w:p>
        </w:tc>
        <w:tc>
          <w:tcPr>
            <w:tcW w:w="1141" w:type="dxa"/>
            <w:tcBorders>
              <w:bottom w:val="single" w:sz="4" w:space="0" w:color="auto"/>
            </w:tcBorders>
            <w:shd w:val="clear" w:color="auto" w:fill="auto"/>
            <w:vAlign w:val="center"/>
          </w:tcPr>
          <w:p w14:paraId="72CBBF2D" w14:textId="77777777" w:rsidR="00055BFC" w:rsidRPr="00487076" w:rsidRDefault="00055BFC" w:rsidP="00B92127">
            <w:pPr>
              <w:keepNext/>
              <w:keepLines/>
              <w:spacing w:line="240" w:lineRule="auto"/>
              <w:jc w:val="center"/>
              <w:rPr>
                <w:rFonts w:eastAsia="Times New Roman"/>
                <w:b/>
                <w:bCs/>
                <w:color w:val="000000"/>
                <w:sz w:val="18"/>
                <w:szCs w:val="18"/>
              </w:rPr>
            </w:pPr>
            <w:r>
              <w:rPr>
                <w:sz w:val="18"/>
              </w:rPr>
              <w:t>14</w:t>
            </w:r>
          </w:p>
        </w:tc>
        <w:tc>
          <w:tcPr>
            <w:tcW w:w="1141" w:type="dxa"/>
            <w:tcBorders>
              <w:bottom w:val="single" w:sz="4" w:space="0" w:color="auto"/>
            </w:tcBorders>
            <w:shd w:val="clear" w:color="auto" w:fill="auto"/>
            <w:vAlign w:val="center"/>
          </w:tcPr>
          <w:p w14:paraId="0D7213C4" w14:textId="77777777" w:rsidR="00055BFC" w:rsidRPr="00487076" w:rsidRDefault="00055BFC" w:rsidP="00B92127">
            <w:pPr>
              <w:keepNext/>
              <w:keepLines/>
              <w:spacing w:line="240" w:lineRule="auto"/>
              <w:jc w:val="center"/>
              <w:rPr>
                <w:rFonts w:eastAsia="Times New Roman"/>
                <w:b/>
                <w:bCs/>
                <w:color w:val="000000"/>
                <w:sz w:val="18"/>
                <w:szCs w:val="18"/>
              </w:rPr>
            </w:pPr>
            <w:r>
              <w:rPr>
                <w:sz w:val="18"/>
              </w:rPr>
              <w:t>24</w:t>
            </w:r>
          </w:p>
        </w:tc>
        <w:tc>
          <w:tcPr>
            <w:tcW w:w="1141" w:type="dxa"/>
            <w:tcBorders>
              <w:bottom w:val="single" w:sz="4" w:space="0" w:color="auto"/>
            </w:tcBorders>
            <w:vAlign w:val="center"/>
          </w:tcPr>
          <w:p w14:paraId="6C6D07C3" w14:textId="77777777" w:rsidR="00055BFC" w:rsidRPr="00487076" w:rsidRDefault="00055BFC" w:rsidP="00B92127">
            <w:pPr>
              <w:keepNext/>
              <w:keepLines/>
              <w:spacing w:line="240" w:lineRule="auto"/>
              <w:jc w:val="center"/>
              <w:rPr>
                <w:sz w:val="18"/>
                <w:szCs w:val="18"/>
              </w:rPr>
            </w:pPr>
            <w:r>
              <w:rPr>
                <w:sz w:val="18"/>
              </w:rPr>
              <w:t>27</w:t>
            </w:r>
          </w:p>
        </w:tc>
        <w:tc>
          <w:tcPr>
            <w:tcW w:w="1141" w:type="dxa"/>
            <w:tcBorders>
              <w:bottom w:val="single" w:sz="4" w:space="0" w:color="auto"/>
            </w:tcBorders>
            <w:vAlign w:val="center"/>
          </w:tcPr>
          <w:p w14:paraId="2DCFC192" w14:textId="77777777" w:rsidR="00055BFC" w:rsidRPr="00487076" w:rsidRDefault="00055BFC" w:rsidP="00B92127">
            <w:pPr>
              <w:keepNext/>
              <w:keepLines/>
              <w:spacing w:line="240" w:lineRule="auto"/>
              <w:jc w:val="center"/>
              <w:rPr>
                <w:sz w:val="18"/>
                <w:szCs w:val="18"/>
              </w:rPr>
            </w:pPr>
            <w:r>
              <w:rPr>
                <w:sz w:val="18"/>
              </w:rPr>
              <w:t>21</w:t>
            </w:r>
          </w:p>
        </w:tc>
        <w:tc>
          <w:tcPr>
            <w:tcW w:w="1141" w:type="dxa"/>
            <w:tcBorders>
              <w:bottom w:val="single" w:sz="4" w:space="0" w:color="auto"/>
            </w:tcBorders>
            <w:vAlign w:val="center"/>
          </w:tcPr>
          <w:p w14:paraId="1641D017" w14:textId="77777777" w:rsidR="00055BFC" w:rsidRPr="00487076" w:rsidRDefault="00055BFC" w:rsidP="00B92127">
            <w:pPr>
              <w:keepNext/>
              <w:keepLines/>
              <w:spacing w:line="240" w:lineRule="auto"/>
              <w:jc w:val="center"/>
              <w:rPr>
                <w:sz w:val="18"/>
                <w:szCs w:val="18"/>
              </w:rPr>
            </w:pPr>
            <w:r>
              <w:rPr>
                <w:sz w:val="18"/>
              </w:rPr>
              <w:t>14</w:t>
            </w:r>
          </w:p>
        </w:tc>
      </w:tr>
      <w:tr w:rsidR="00055BFC" w:rsidRPr="00487076" w14:paraId="56A70440" w14:textId="77777777" w:rsidTr="00B92127">
        <w:trPr>
          <w:trHeight w:val="303"/>
          <w:jc w:val="right"/>
        </w:trPr>
        <w:tc>
          <w:tcPr>
            <w:tcW w:w="2165" w:type="dxa"/>
            <w:tcBorders>
              <w:bottom w:val="single" w:sz="2" w:space="0" w:color="auto"/>
            </w:tcBorders>
            <w:shd w:val="clear" w:color="auto" w:fill="F2F2F2" w:themeFill="background1" w:themeFillShade="F2"/>
            <w:vAlign w:val="center"/>
          </w:tcPr>
          <w:p w14:paraId="152C24E8" w14:textId="77777777" w:rsidR="00055BFC" w:rsidRPr="00487076" w:rsidRDefault="00055BFC" w:rsidP="00B92127">
            <w:pPr>
              <w:keepNext/>
              <w:keepLines/>
              <w:spacing w:line="240" w:lineRule="auto"/>
              <w:rPr>
                <w:rFonts w:eastAsia="Times New Roman"/>
                <w:b/>
                <w:bCs/>
                <w:color w:val="000000"/>
                <w:sz w:val="18"/>
                <w:szCs w:val="18"/>
              </w:rPr>
            </w:pPr>
            <w:r>
              <w:rPr>
                <w:b/>
                <w:sz w:val="18"/>
              </w:rPr>
              <w:t>Итого</w:t>
            </w:r>
          </w:p>
        </w:tc>
        <w:tc>
          <w:tcPr>
            <w:tcW w:w="1141" w:type="dxa"/>
            <w:tcBorders>
              <w:bottom w:val="single" w:sz="2" w:space="0" w:color="auto"/>
            </w:tcBorders>
            <w:shd w:val="clear" w:color="auto" w:fill="F2F2F2" w:themeFill="background1" w:themeFillShade="F2"/>
            <w:vAlign w:val="center"/>
          </w:tcPr>
          <w:p w14:paraId="5990A5FB" w14:textId="77777777" w:rsidR="00055BFC" w:rsidRPr="00487076" w:rsidRDefault="00055BFC" w:rsidP="00B92127">
            <w:pPr>
              <w:keepNext/>
              <w:keepLines/>
              <w:spacing w:line="240" w:lineRule="auto"/>
              <w:jc w:val="center"/>
              <w:rPr>
                <w:rFonts w:eastAsia="Times New Roman"/>
                <w:b/>
                <w:bCs/>
                <w:color w:val="000000"/>
                <w:sz w:val="18"/>
                <w:szCs w:val="18"/>
              </w:rPr>
            </w:pPr>
            <w:r>
              <w:rPr>
                <w:b/>
                <w:sz w:val="18"/>
              </w:rPr>
              <w:t>112</w:t>
            </w:r>
          </w:p>
        </w:tc>
        <w:tc>
          <w:tcPr>
            <w:tcW w:w="1141" w:type="dxa"/>
            <w:tcBorders>
              <w:bottom w:val="single" w:sz="2" w:space="0" w:color="auto"/>
            </w:tcBorders>
            <w:shd w:val="clear" w:color="auto" w:fill="F2F2F2" w:themeFill="background1" w:themeFillShade="F2"/>
            <w:vAlign w:val="center"/>
          </w:tcPr>
          <w:p w14:paraId="1D3C75E3" w14:textId="77777777" w:rsidR="00055BFC" w:rsidRPr="00487076" w:rsidRDefault="00055BFC" w:rsidP="00B92127">
            <w:pPr>
              <w:keepNext/>
              <w:keepLines/>
              <w:spacing w:line="240" w:lineRule="auto"/>
              <w:jc w:val="center"/>
              <w:rPr>
                <w:rFonts w:eastAsia="Times New Roman"/>
                <w:b/>
                <w:bCs/>
                <w:color w:val="000000"/>
                <w:sz w:val="18"/>
                <w:szCs w:val="18"/>
              </w:rPr>
            </w:pPr>
            <w:r>
              <w:rPr>
                <w:b/>
                <w:sz w:val="18"/>
              </w:rPr>
              <w:t>116</w:t>
            </w:r>
          </w:p>
        </w:tc>
        <w:tc>
          <w:tcPr>
            <w:tcW w:w="1141" w:type="dxa"/>
            <w:tcBorders>
              <w:bottom w:val="single" w:sz="2" w:space="0" w:color="auto"/>
            </w:tcBorders>
            <w:shd w:val="clear" w:color="auto" w:fill="F2F2F2" w:themeFill="background1" w:themeFillShade="F2"/>
            <w:vAlign w:val="center"/>
          </w:tcPr>
          <w:p w14:paraId="338347ED" w14:textId="77777777" w:rsidR="00055BFC" w:rsidRPr="00487076" w:rsidRDefault="00055BFC" w:rsidP="00B92127">
            <w:pPr>
              <w:keepNext/>
              <w:keepLines/>
              <w:spacing w:line="240" w:lineRule="auto"/>
              <w:jc w:val="center"/>
              <w:rPr>
                <w:rFonts w:eastAsia="Times New Roman"/>
                <w:b/>
                <w:bCs/>
                <w:color w:val="000000"/>
                <w:sz w:val="18"/>
                <w:szCs w:val="18"/>
              </w:rPr>
            </w:pPr>
            <w:r>
              <w:rPr>
                <w:b/>
                <w:sz w:val="18"/>
              </w:rPr>
              <w:t>118</w:t>
            </w:r>
          </w:p>
        </w:tc>
        <w:tc>
          <w:tcPr>
            <w:tcW w:w="1141" w:type="dxa"/>
            <w:tcBorders>
              <w:bottom w:val="single" w:sz="2" w:space="0" w:color="auto"/>
            </w:tcBorders>
            <w:shd w:val="clear" w:color="auto" w:fill="F2F2F2" w:themeFill="background1" w:themeFillShade="F2"/>
            <w:vAlign w:val="center"/>
          </w:tcPr>
          <w:p w14:paraId="4E6B2D5B" w14:textId="77777777" w:rsidR="00055BFC" w:rsidRPr="00487076" w:rsidRDefault="00055BFC" w:rsidP="00B92127">
            <w:pPr>
              <w:keepNext/>
              <w:keepLines/>
              <w:spacing w:line="240" w:lineRule="auto"/>
              <w:jc w:val="center"/>
              <w:rPr>
                <w:b/>
                <w:bCs/>
                <w:sz w:val="18"/>
                <w:szCs w:val="18"/>
              </w:rPr>
            </w:pPr>
            <w:r>
              <w:rPr>
                <w:b/>
                <w:sz w:val="18"/>
              </w:rPr>
              <w:t>166</w:t>
            </w:r>
          </w:p>
        </w:tc>
        <w:tc>
          <w:tcPr>
            <w:tcW w:w="1141" w:type="dxa"/>
            <w:tcBorders>
              <w:bottom w:val="single" w:sz="2" w:space="0" w:color="auto"/>
            </w:tcBorders>
            <w:shd w:val="clear" w:color="auto" w:fill="F2F2F2" w:themeFill="background1" w:themeFillShade="F2"/>
            <w:vAlign w:val="center"/>
          </w:tcPr>
          <w:p w14:paraId="00B7E93C" w14:textId="77777777" w:rsidR="00055BFC" w:rsidRPr="00487076" w:rsidRDefault="00055BFC" w:rsidP="00B92127">
            <w:pPr>
              <w:keepNext/>
              <w:keepLines/>
              <w:spacing w:line="240" w:lineRule="auto"/>
              <w:jc w:val="center"/>
              <w:rPr>
                <w:b/>
                <w:bCs/>
                <w:sz w:val="18"/>
                <w:szCs w:val="18"/>
              </w:rPr>
            </w:pPr>
            <w:r>
              <w:rPr>
                <w:b/>
                <w:sz w:val="18"/>
              </w:rPr>
              <w:t>167</w:t>
            </w:r>
          </w:p>
        </w:tc>
        <w:tc>
          <w:tcPr>
            <w:tcW w:w="1141" w:type="dxa"/>
            <w:tcBorders>
              <w:bottom w:val="single" w:sz="2" w:space="0" w:color="auto"/>
            </w:tcBorders>
            <w:shd w:val="clear" w:color="auto" w:fill="F2F2F2" w:themeFill="background1" w:themeFillShade="F2"/>
            <w:vAlign w:val="center"/>
          </w:tcPr>
          <w:p w14:paraId="2A7B48DD" w14:textId="77777777" w:rsidR="00055BFC" w:rsidRPr="00487076" w:rsidRDefault="00055BFC" w:rsidP="00B92127">
            <w:pPr>
              <w:keepNext/>
              <w:keepLines/>
              <w:spacing w:line="240" w:lineRule="auto"/>
              <w:jc w:val="center"/>
              <w:rPr>
                <w:b/>
                <w:bCs/>
                <w:sz w:val="18"/>
                <w:szCs w:val="18"/>
              </w:rPr>
            </w:pPr>
            <w:r>
              <w:rPr>
                <w:b/>
                <w:sz w:val="18"/>
              </w:rPr>
              <w:t>134</w:t>
            </w:r>
          </w:p>
        </w:tc>
      </w:tr>
    </w:tbl>
    <w:p w14:paraId="605AF8E8" w14:textId="759A7ED4" w:rsidR="00055BFC" w:rsidRPr="00487076" w:rsidRDefault="00055BFC" w:rsidP="00055BFC">
      <w:pPr>
        <w:rPr>
          <w:rFonts w:eastAsia="Times New Roman"/>
          <w:color w:val="000000"/>
          <w:szCs w:val="20"/>
        </w:rPr>
      </w:pPr>
    </w:p>
    <w:p w14:paraId="1D0BC2C9" w14:textId="77777777" w:rsidR="00055BFC" w:rsidRPr="00487076" w:rsidRDefault="00055BFC" w:rsidP="00055BFC">
      <w:pPr>
        <w:pStyle w:val="Para1"/>
        <w:numPr>
          <w:ilvl w:val="0"/>
          <w:numId w:val="0"/>
        </w:numPr>
        <w:ind w:left="720" w:hanging="11"/>
      </w:pPr>
      <w:r w:rsidRPr="00487076">
        <w:t>78.</w:t>
      </w:r>
      <w:r w:rsidRPr="00487076">
        <w:tab/>
      </w:r>
      <w:r>
        <w:t>В дополнение к вышеупомянутым 134 делам, зарегистрированным в 2024 году, УАР открыло 232 непрофильных дела, которые включали сообщения о правонарушениях, не относящихся к мандату УАР, жалобы, которые более уместно рассматривать в других подразделениях или отделах, или запросы о консультациях, каждый из которых требовал дальнейшего рассмотрения и принятия мер</w:t>
      </w:r>
      <w:r w:rsidRPr="00487076">
        <w:rPr>
          <w:vertAlign w:val="superscript"/>
        </w:rPr>
        <w:footnoteReference w:id="18"/>
      </w:r>
      <w:r>
        <w:t>. Это на 3 процента меньше, чем в 2023 году (238 непрофильных дел), что объясняется усилиями УАР по объединению схожих по характеру непрофильных дел (например, заявлений о приеме на работу, ошибочно направленных на «горячую линию» УАР), которые не требуют оценки и расследования; на 44 процента больше, чем в 2022 году (161 непрофильных дело), на 111 процентов больше, чем в 2021 году (110 непрофильных дел), на 383 процента больше, чем в 2020 году (48 непрофильных дел), и на 563 процента больше, чем в 2019 году (35 непрофильных дел). Причина увеличения количества непрофильных дел может заключаться в более структурированной и обеспеченной достаточными ресурсами группе по приему жалоб в связи с увеличением штата ее сотрудников на начальном этапе реструктуризации УАР в 2022 году. Группа применяет более строгий процесс приема дел, чтобы тщательно проверять жалобы, определяя, подпадают ли они под задачи УАР, прежде чем открывать дело.</w:t>
      </w:r>
    </w:p>
    <w:p w14:paraId="673C5F13" w14:textId="77777777" w:rsidR="00055BFC" w:rsidRPr="00487076" w:rsidRDefault="00055BFC" w:rsidP="00055BFC">
      <w:pPr>
        <w:pStyle w:val="Subheading"/>
        <w:numPr>
          <w:ilvl w:val="0"/>
          <w:numId w:val="0"/>
        </w:numPr>
        <w:ind w:left="1267" w:hanging="558"/>
      </w:pPr>
      <w:bookmarkStart w:id="56" w:name="_heading=h.3rdcrjn"/>
      <w:bookmarkEnd w:id="56"/>
      <w:r w:rsidRPr="00487076">
        <w:t>c.</w:t>
      </w:r>
      <w:r w:rsidRPr="00487076">
        <w:tab/>
      </w:r>
      <w:r>
        <w:t>Принятие дел в производство в штаб-квартире и в регионах</w:t>
      </w:r>
    </w:p>
    <w:p w14:paraId="121855BD" w14:textId="77777777" w:rsidR="00055BFC" w:rsidRPr="00487076" w:rsidRDefault="00055BFC" w:rsidP="00055BFC">
      <w:pPr>
        <w:pStyle w:val="Para1"/>
        <w:numPr>
          <w:ilvl w:val="0"/>
          <w:numId w:val="0"/>
        </w:numPr>
        <w:ind w:left="720" w:hanging="11"/>
      </w:pPr>
      <w:r w:rsidRPr="00487076">
        <w:t>79.</w:t>
      </w:r>
      <w:r w:rsidRPr="00487076">
        <w:tab/>
      </w:r>
      <w:r>
        <w:t>В таблице 6 ниже показано распределение дел, открытых в 2024 году, по сравнению с 2023, 2022 и 2021 годами, в штаб-квартире и по регионам.</w:t>
      </w:r>
    </w:p>
    <w:p w14:paraId="4A9DF479" w14:textId="77777777" w:rsidR="00055BFC" w:rsidRPr="00487076" w:rsidRDefault="00055BFC" w:rsidP="00055BFC">
      <w:pPr>
        <w:pStyle w:val="Figure"/>
        <w:spacing w:before="240"/>
        <w:ind w:left="1281" w:right="578"/>
      </w:pPr>
      <w:r>
        <w:t xml:space="preserve">Таблица 6. Ежегодное принятие дел в производство </w:t>
      </w:r>
      <w:r>
        <w:rPr>
          <w:lang w:val="cs-CZ"/>
        </w:rPr>
        <w:br/>
      </w:r>
      <w:r>
        <w:t>в штаб-квартире и в регионах за 2021–2024 годы</w:t>
      </w:r>
    </w:p>
    <w:tbl>
      <w:tblPr>
        <w:tblW w:w="9451" w:type="dxa"/>
        <w:jc w:val="right"/>
        <w:tblLayout w:type="fixed"/>
        <w:tblLook w:val="04A0" w:firstRow="1" w:lastRow="0" w:firstColumn="1" w:lastColumn="0" w:noHBand="0" w:noVBand="1"/>
      </w:tblPr>
      <w:tblGrid>
        <w:gridCol w:w="1964"/>
        <w:gridCol w:w="863"/>
        <w:gridCol w:w="1137"/>
        <w:gridCol w:w="735"/>
        <w:gridCol w:w="966"/>
        <w:gridCol w:w="906"/>
        <w:gridCol w:w="989"/>
        <w:gridCol w:w="883"/>
        <w:gridCol w:w="1008"/>
      </w:tblGrid>
      <w:tr w:rsidR="00055BFC" w:rsidRPr="00487076" w14:paraId="4EA7A628" w14:textId="77777777" w:rsidTr="00B92127">
        <w:trPr>
          <w:trHeight w:val="288"/>
          <w:tblHeader/>
          <w:jc w:val="right"/>
        </w:trPr>
        <w:tc>
          <w:tcPr>
            <w:tcW w:w="1964"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28B8A45E" w14:textId="77777777" w:rsidR="00055BFC" w:rsidRPr="00487076" w:rsidRDefault="00055BFC" w:rsidP="00B92127">
            <w:pPr>
              <w:keepNext/>
              <w:ind w:right="-283"/>
              <w:rPr>
                <w:rFonts w:eastAsia="Times New Roman"/>
                <w:b/>
                <w:bCs/>
                <w:color w:val="000000"/>
                <w:sz w:val="18"/>
                <w:szCs w:val="18"/>
              </w:rPr>
            </w:pPr>
            <w:bookmarkStart w:id="57" w:name="_Toc101201191"/>
            <w:r>
              <w:rPr>
                <w:b/>
                <w:color w:val="000000"/>
                <w:sz w:val="18"/>
              </w:rPr>
              <w:t>Штаб-квартира/</w:t>
            </w:r>
            <w:r>
              <w:rPr>
                <w:b/>
                <w:color w:val="000000"/>
                <w:sz w:val="18"/>
                <w:lang w:val="cs-CZ"/>
              </w:rPr>
              <w:br/>
            </w:r>
            <w:r>
              <w:rPr>
                <w:b/>
                <w:color w:val="000000"/>
                <w:sz w:val="18"/>
              </w:rPr>
              <w:t>регион ЮНФПА</w:t>
            </w:r>
          </w:p>
        </w:tc>
        <w:tc>
          <w:tcPr>
            <w:tcW w:w="2000"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4E867EE4" w14:textId="77777777" w:rsidR="00055BFC" w:rsidRPr="00487076" w:rsidRDefault="00055BFC" w:rsidP="00B92127">
            <w:pPr>
              <w:keepNext/>
              <w:ind w:right="-283"/>
              <w:jc w:val="center"/>
              <w:rPr>
                <w:rFonts w:eastAsia="Times New Roman"/>
                <w:b/>
                <w:bCs/>
                <w:color w:val="000000"/>
                <w:sz w:val="18"/>
                <w:szCs w:val="18"/>
              </w:rPr>
            </w:pPr>
            <w:r>
              <w:rPr>
                <w:b/>
                <w:color w:val="000000"/>
                <w:sz w:val="18"/>
              </w:rPr>
              <w:t>2021</w:t>
            </w:r>
          </w:p>
        </w:tc>
        <w:tc>
          <w:tcPr>
            <w:tcW w:w="1701"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18BEDB61" w14:textId="77777777" w:rsidR="00055BFC" w:rsidRPr="00487076" w:rsidRDefault="00055BFC" w:rsidP="00B92127">
            <w:pPr>
              <w:keepNext/>
              <w:jc w:val="center"/>
              <w:rPr>
                <w:rFonts w:eastAsia="Times New Roman"/>
                <w:b/>
                <w:bCs/>
                <w:color w:val="000000"/>
                <w:sz w:val="18"/>
                <w:szCs w:val="18"/>
              </w:rPr>
            </w:pPr>
            <w:r>
              <w:rPr>
                <w:b/>
                <w:color w:val="000000"/>
                <w:sz w:val="18"/>
              </w:rPr>
              <w:t>2022</w:t>
            </w:r>
          </w:p>
        </w:tc>
        <w:tc>
          <w:tcPr>
            <w:tcW w:w="1895"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6CF2D6F3" w14:textId="77777777" w:rsidR="00055BFC" w:rsidRPr="00487076" w:rsidRDefault="00055BFC" w:rsidP="00B92127">
            <w:pPr>
              <w:keepNext/>
              <w:jc w:val="center"/>
              <w:rPr>
                <w:rFonts w:eastAsia="Times New Roman"/>
                <w:b/>
                <w:bCs/>
                <w:color w:val="000000"/>
                <w:sz w:val="18"/>
                <w:szCs w:val="18"/>
              </w:rPr>
            </w:pPr>
            <w:r>
              <w:rPr>
                <w:b/>
                <w:color w:val="000000"/>
                <w:sz w:val="18"/>
              </w:rPr>
              <w:t>2023</w:t>
            </w:r>
          </w:p>
        </w:tc>
        <w:tc>
          <w:tcPr>
            <w:tcW w:w="1891"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B2D29C1" w14:textId="77777777" w:rsidR="00055BFC" w:rsidRPr="00487076" w:rsidRDefault="00055BFC" w:rsidP="00B92127">
            <w:pPr>
              <w:keepNext/>
              <w:jc w:val="center"/>
              <w:rPr>
                <w:rFonts w:eastAsia="Times New Roman"/>
                <w:b/>
                <w:bCs/>
                <w:color w:val="000000"/>
                <w:sz w:val="18"/>
                <w:szCs w:val="18"/>
              </w:rPr>
            </w:pPr>
            <w:r>
              <w:rPr>
                <w:b/>
                <w:color w:val="000000"/>
                <w:sz w:val="18"/>
              </w:rPr>
              <w:t>2024</w:t>
            </w:r>
          </w:p>
        </w:tc>
      </w:tr>
      <w:tr w:rsidR="00055BFC" w:rsidRPr="00487076" w14:paraId="66B7C485" w14:textId="77777777" w:rsidTr="00B92127">
        <w:trPr>
          <w:trHeight w:val="288"/>
          <w:tblHeader/>
          <w:jc w:val="right"/>
        </w:trPr>
        <w:tc>
          <w:tcPr>
            <w:tcW w:w="1964"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109E2C98" w14:textId="77777777" w:rsidR="00055BFC" w:rsidRPr="00487076" w:rsidRDefault="00055BFC" w:rsidP="00B92127">
            <w:pPr>
              <w:keepNext/>
              <w:ind w:right="-283"/>
              <w:rPr>
                <w:rFonts w:eastAsia="Times New Roman"/>
                <w:b/>
                <w:bCs/>
                <w:color w:val="000000"/>
                <w:sz w:val="18"/>
                <w:szCs w:val="18"/>
              </w:rPr>
            </w:pPr>
          </w:p>
        </w:tc>
        <w:tc>
          <w:tcPr>
            <w:tcW w:w="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217174" w14:textId="77777777" w:rsidR="00055BFC" w:rsidRPr="00487076" w:rsidRDefault="00055BFC" w:rsidP="00B92127">
            <w:pPr>
              <w:keepNext/>
              <w:ind w:left="-92" w:right="-75"/>
              <w:jc w:val="center"/>
              <w:rPr>
                <w:rFonts w:eastAsia="Times New Roman"/>
                <w:b/>
                <w:bCs/>
                <w:color w:val="000000"/>
                <w:sz w:val="18"/>
                <w:szCs w:val="18"/>
              </w:rPr>
            </w:pPr>
            <w:r>
              <w:rPr>
                <w:sz w:val="18"/>
              </w:rPr>
              <w:t>Число</w:t>
            </w:r>
            <w:r>
              <w:rPr>
                <w:sz w:val="18"/>
              </w:rPr>
              <w:br/>
              <w:t>дел</w:t>
            </w:r>
          </w:p>
        </w:tc>
        <w:tc>
          <w:tcPr>
            <w:tcW w:w="1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0A2563" w14:textId="77777777" w:rsidR="00055BFC" w:rsidRPr="00487076" w:rsidRDefault="00055BFC" w:rsidP="00B92127">
            <w:pPr>
              <w:keepNext/>
              <w:ind w:left="-56" w:right="-173"/>
              <w:rPr>
                <w:rFonts w:eastAsia="Times New Roman"/>
                <w:b/>
                <w:bCs/>
                <w:i/>
                <w:iCs/>
                <w:color w:val="000000"/>
                <w:sz w:val="18"/>
                <w:szCs w:val="18"/>
              </w:rPr>
            </w:pPr>
            <w:r>
              <w:rPr>
                <w:i/>
                <w:sz w:val="18"/>
              </w:rPr>
              <w:t>Процент от общего числа</w:t>
            </w:r>
          </w:p>
        </w:tc>
        <w:tc>
          <w:tcPr>
            <w:tcW w:w="73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D493449" w14:textId="77777777" w:rsidR="00055BFC" w:rsidRPr="00487076" w:rsidRDefault="00055BFC" w:rsidP="00B92127">
            <w:pPr>
              <w:keepNext/>
              <w:jc w:val="center"/>
              <w:rPr>
                <w:rFonts w:eastAsia="Times New Roman"/>
                <w:b/>
                <w:bCs/>
                <w:color w:val="000000"/>
                <w:sz w:val="18"/>
                <w:szCs w:val="18"/>
              </w:rPr>
            </w:pPr>
            <w:r>
              <w:rPr>
                <w:sz w:val="18"/>
              </w:rPr>
              <w:t>Число дел</w:t>
            </w:r>
          </w:p>
        </w:tc>
        <w:tc>
          <w:tcPr>
            <w:tcW w:w="9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C67AEE2" w14:textId="77777777" w:rsidR="00055BFC" w:rsidRPr="00487076" w:rsidRDefault="00055BFC" w:rsidP="00B92127">
            <w:pPr>
              <w:keepNext/>
              <w:ind w:right="-93"/>
              <w:jc w:val="center"/>
              <w:rPr>
                <w:rFonts w:eastAsia="Times New Roman"/>
                <w:b/>
                <w:bCs/>
                <w:i/>
                <w:iCs/>
                <w:color w:val="000000"/>
                <w:sz w:val="18"/>
                <w:szCs w:val="18"/>
              </w:rPr>
            </w:pPr>
            <w:r>
              <w:rPr>
                <w:i/>
                <w:sz w:val="18"/>
              </w:rPr>
              <w:t>Процент от общего числа</w:t>
            </w:r>
          </w:p>
        </w:tc>
        <w:tc>
          <w:tcPr>
            <w:tcW w:w="90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ACF031" w14:textId="77777777" w:rsidR="00055BFC" w:rsidRPr="00487076" w:rsidRDefault="00055BFC" w:rsidP="00B92127">
            <w:pPr>
              <w:keepNext/>
              <w:jc w:val="center"/>
              <w:rPr>
                <w:sz w:val="18"/>
                <w:szCs w:val="18"/>
              </w:rPr>
            </w:pPr>
            <w:r>
              <w:rPr>
                <w:sz w:val="18"/>
              </w:rPr>
              <w:t>Число дел</w:t>
            </w:r>
          </w:p>
        </w:tc>
        <w:tc>
          <w:tcPr>
            <w:tcW w:w="98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5874458" w14:textId="77777777" w:rsidR="00055BFC" w:rsidRPr="00487076" w:rsidRDefault="00055BFC" w:rsidP="00B92127">
            <w:pPr>
              <w:keepNext/>
              <w:ind w:right="-92"/>
              <w:jc w:val="center"/>
              <w:rPr>
                <w:i/>
                <w:iCs/>
                <w:sz w:val="18"/>
                <w:szCs w:val="18"/>
              </w:rPr>
            </w:pPr>
            <w:r>
              <w:rPr>
                <w:i/>
                <w:sz w:val="18"/>
              </w:rPr>
              <w:t>Процент от общего числа</w:t>
            </w:r>
          </w:p>
        </w:tc>
        <w:tc>
          <w:tcPr>
            <w:tcW w:w="883" w:type="dxa"/>
            <w:tcBorders>
              <w:top w:val="single" w:sz="4" w:space="0" w:color="auto"/>
              <w:left w:val="nil"/>
              <w:bottom w:val="single" w:sz="4" w:space="0" w:color="auto"/>
              <w:right w:val="single" w:sz="4" w:space="0" w:color="auto"/>
            </w:tcBorders>
            <w:shd w:val="clear" w:color="auto" w:fill="F2F2F2" w:themeFill="background1" w:themeFillShade="F2"/>
          </w:tcPr>
          <w:p w14:paraId="4155B4D1" w14:textId="77777777" w:rsidR="00055BFC" w:rsidRPr="00487076" w:rsidRDefault="00055BFC" w:rsidP="00B92127">
            <w:pPr>
              <w:keepNext/>
              <w:jc w:val="center"/>
              <w:rPr>
                <w:sz w:val="18"/>
                <w:szCs w:val="18"/>
              </w:rPr>
            </w:pPr>
            <w:r>
              <w:rPr>
                <w:sz w:val="18"/>
              </w:rPr>
              <w:t>Число дел</w:t>
            </w:r>
          </w:p>
        </w:tc>
        <w:tc>
          <w:tcPr>
            <w:tcW w:w="1008" w:type="dxa"/>
            <w:tcBorders>
              <w:top w:val="single" w:sz="4" w:space="0" w:color="auto"/>
              <w:left w:val="nil"/>
              <w:bottom w:val="single" w:sz="4" w:space="0" w:color="auto"/>
              <w:right w:val="single" w:sz="4" w:space="0" w:color="auto"/>
            </w:tcBorders>
            <w:shd w:val="clear" w:color="auto" w:fill="F2F2F2" w:themeFill="background1" w:themeFillShade="F2"/>
          </w:tcPr>
          <w:p w14:paraId="10068F65" w14:textId="77777777" w:rsidR="00055BFC" w:rsidRPr="00487076" w:rsidRDefault="00055BFC" w:rsidP="00B92127">
            <w:pPr>
              <w:keepNext/>
              <w:ind w:right="-109"/>
              <w:jc w:val="center"/>
              <w:rPr>
                <w:i/>
                <w:iCs/>
                <w:sz w:val="18"/>
                <w:szCs w:val="18"/>
              </w:rPr>
            </w:pPr>
            <w:r>
              <w:rPr>
                <w:i/>
                <w:sz w:val="18"/>
              </w:rPr>
              <w:t>Процент от общего числа</w:t>
            </w:r>
          </w:p>
        </w:tc>
      </w:tr>
      <w:tr w:rsidR="00055BFC" w:rsidRPr="00487076" w14:paraId="58BDBCE3" w14:textId="77777777" w:rsidTr="00B92127">
        <w:trPr>
          <w:trHeight w:val="288"/>
          <w:jc w:val="right"/>
        </w:trPr>
        <w:tc>
          <w:tcPr>
            <w:tcW w:w="1964" w:type="dxa"/>
            <w:tcBorders>
              <w:top w:val="nil"/>
              <w:left w:val="single" w:sz="4" w:space="0" w:color="auto"/>
              <w:bottom w:val="single" w:sz="4" w:space="0" w:color="auto"/>
              <w:right w:val="single" w:sz="4" w:space="0" w:color="auto"/>
            </w:tcBorders>
            <w:shd w:val="clear" w:color="auto" w:fill="auto"/>
            <w:noWrap/>
            <w:vAlign w:val="center"/>
          </w:tcPr>
          <w:p w14:paraId="32FB1050" w14:textId="77777777" w:rsidR="00055BFC" w:rsidRPr="00487076" w:rsidRDefault="00055BFC" w:rsidP="00B92127">
            <w:pPr>
              <w:spacing w:line="240" w:lineRule="auto"/>
              <w:ind w:right="-303"/>
              <w:rPr>
                <w:rFonts w:eastAsia="Times New Roman"/>
                <w:color w:val="000000"/>
                <w:sz w:val="18"/>
                <w:szCs w:val="18"/>
              </w:rPr>
            </w:pPr>
            <w:r>
              <w:rPr>
                <w:sz w:val="18"/>
              </w:rPr>
              <w:t>Штаб-квартира</w:t>
            </w:r>
          </w:p>
        </w:tc>
        <w:tc>
          <w:tcPr>
            <w:tcW w:w="863" w:type="dxa"/>
            <w:tcBorders>
              <w:top w:val="nil"/>
              <w:left w:val="nil"/>
              <w:bottom w:val="single" w:sz="4" w:space="0" w:color="auto"/>
              <w:right w:val="single" w:sz="4" w:space="0" w:color="auto"/>
            </w:tcBorders>
            <w:shd w:val="clear" w:color="auto" w:fill="auto"/>
            <w:noWrap/>
            <w:vAlign w:val="center"/>
          </w:tcPr>
          <w:p w14:paraId="64AD996A" w14:textId="77777777" w:rsidR="00055BFC" w:rsidRPr="00487076" w:rsidRDefault="00055BFC" w:rsidP="00B92127">
            <w:pPr>
              <w:spacing w:line="240" w:lineRule="auto"/>
              <w:ind w:left="-110" w:right="-133"/>
              <w:jc w:val="center"/>
              <w:rPr>
                <w:rFonts w:eastAsia="Times New Roman"/>
                <w:color w:val="000000"/>
                <w:sz w:val="18"/>
                <w:szCs w:val="18"/>
              </w:rPr>
            </w:pPr>
            <w:r>
              <w:rPr>
                <w:sz w:val="18"/>
              </w:rPr>
              <w:t>4</w:t>
            </w:r>
          </w:p>
        </w:tc>
        <w:tc>
          <w:tcPr>
            <w:tcW w:w="1137" w:type="dxa"/>
            <w:tcBorders>
              <w:top w:val="nil"/>
              <w:left w:val="nil"/>
              <w:bottom w:val="single" w:sz="4" w:space="0" w:color="auto"/>
              <w:right w:val="single" w:sz="4" w:space="0" w:color="auto"/>
            </w:tcBorders>
            <w:shd w:val="clear" w:color="auto" w:fill="F2F2F2" w:themeFill="background1" w:themeFillShade="F2"/>
            <w:noWrap/>
            <w:vAlign w:val="center"/>
          </w:tcPr>
          <w:p w14:paraId="72E354DE" w14:textId="77777777" w:rsidR="00055BFC" w:rsidRPr="00487076" w:rsidRDefault="00055BFC" w:rsidP="00B92127">
            <w:pPr>
              <w:spacing w:line="240" w:lineRule="auto"/>
              <w:ind w:right="-173"/>
              <w:jc w:val="center"/>
              <w:rPr>
                <w:rFonts w:eastAsia="Times New Roman"/>
                <w:i/>
                <w:iCs/>
                <w:color w:val="000000"/>
                <w:sz w:val="18"/>
                <w:szCs w:val="18"/>
              </w:rPr>
            </w:pPr>
            <w:r>
              <w:rPr>
                <w:i/>
                <w:sz w:val="18"/>
              </w:rPr>
              <w:t>3</w:t>
            </w:r>
          </w:p>
        </w:tc>
        <w:tc>
          <w:tcPr>
            <w:tcW w:w="735" w:type="dxa"/>
            <w:tcBorders>
              <w:top w:val="nil"/>
              <w:left w:val="nil"/>
              <w:bottom w:val="single" w:sz="4" w:space="0" w:color="auto"/>
              <w:right w:val="single" w:sz="4" w:space="0" w:color="auto"/>
            </w:tcBorders>
            <w:noWrap/>
            <w:vAlign w:val="center"/>
          </w:tcPr>
          <w:p w14:paraId="163BAEEE" w14:textId="77777777" w:rsidR="00055BFC" w:rsidRPr="00487076" w:rsidRDefault="00055BFC" w:rsidP="00B92127">
            <w:pPr>
              <w:spacing w:line="240" w:lineRule="auto"/>
              <w:jc w:val="center"/>
              <w:rPr>
                <w:rFonts w:eastAsia="Times New Roman"/>
                <w:color w:val="000000"/>
                <w:sz w:val="18"/>
                <w:szCs w:val="18"/>
              </w:rPr>
            </w:pPr>
            <w:r>
              <w:rPr>
                <w:sz w:val="18"/>
              </w:rPr>
              <w:t>5</w:t>
            </w:r>
          </w:p>
        </w:tc>
        <w:tc>
          <w:tcPr>
            <w:tcW w:w="966" w:type="dxa"/>
            <w:tcBorders>
              <w:top w:val="nil"/>
              <w:left w:val="nil"/>
              <w:bottom w:val="single" w:sz="4" w:space="0" w:color="auto"/>
              <w:right w:val="single" w:sz="4" w:space="0" w:color="auto"/>
            </w:tcBorders>
            <w:shd w:val="clear" w:color="auto" w:fill="F2F2F2" w:themeFill="background1" w:themeFillShade="F2"/>
            <w:noWrap/>
            <w:vAlign w:val="center"/>
          </w:tcPr>
          <w:p w14:paraId="0AB291B1" w14:textId="77777777" w:rsidR="00055BFC" w:rsidRPr="00487076" w:rsidRDefault="00055BFC" w:rsidP="00B92127">
            <w:pPr>
              <w:spacing w:line="240" w:lineRule="auto"/>
              <w:ind w:right="-93"/>
              <w:jc w:val="center"/>
              <w:rPr>
                <w:rFonts w:eastAsia="Times New Roman"/>
                <w:i/>
                <w:iCs/>
                <w:color w:val="000000"/>
                <w:sz w:val="18"/>
                <w:szCs w:val="18"/>
              </w:rPr>
            </w:pPr>
            <w:r>
              <w:rPr>
                <w:i/>
                <w:sz w:val="18"/>
              </w:rPr>
              <w:t>3</w:t>
            </w:r>
          </w:p>
        </w:tc>
        <w:tc>
          <w:tcPr>
            <w:tcW w:w="906" w:type="dxa"/>
            <w:tcBorders>
              <w:top w:val="nil"/>
              <w:left w:val="nil"/>
              <w:bottom w:val="single" w:sz="4" w:space="0" w:color="auto"/>
              <w:right w:val="single" w:sz="4" w:space="0" w:color="auto"/>
            </w:tcBorders>
            <w:shd w:val="clear" w:color="auto" w:fill="auto"/>
            <w:vAlign w:val="center"/>
          </w:tcPr>
          <w:p w14:paraId="7F8BF3BC" w14:textId="77777777" w:rsidR="00055BFC" w:rsidRPr="00487076" w:rsidRDefault="00055BFC" w:rsidP="00B92127">
            <w:pPr>
              <w:spacing w:line="240" w:lineRule="auto"/>
              <w:jc w:val="center"/>
              <w:rPr>
                <w:sz w:val="18"/>
                <w:szCs w:val="18"/>
              </w:rPr>
            </w:pPr>
            <w:r>
              <w:rPr>
                <w:sz w:val="18"/>
              </w:rPr>
              <w:t>8</w:t>
            </w:r>
          </w:p>
        </w:tc>
        <w:tc>
          <w:tcPr>
            <w:tcW w:w="989" w:type="dxa"/>
            <w:tcBorders>
              <w:top w:val="nil"/>
              <w:left w:val="nil"/>
              <w:bottom w:val="single" w:sz="4" w:space="0" w:color="auto"/>
              <w:right w:val="single" w:sz="4" w:space="0" w:color="auto"/>
            </w:tcBorders>
            <w:shd w:val="clear" w:color="auto" w:fill="F2F2F2" w:themeFill="background1" w:themeFillShade="F2"/>
            <w:vAlign w:val="center"/>
          </w:tcPr>
          <w:p w14:paraId="37127B98" w14:textId="77777777" w:rsidR="00055BFC" w:rsidRPr="00487076" w:rsidRDefault="00055BFC" w:rsidP="00B92127">
            <w:pPr>
              <w:spacing w:line="240" w:lineRule="auto"/>
              <w:jc w:val="center"/>
              <w:rPr>
                <w:i/>
                <w:iCs/>
                <w:sz w:val="18"/>
                <w:szCs w:val="18"/>
              </w:rPr>
            </w:pPr>
            <w:r>
              <w:rPr>
                <w:i/>
                <w:sz w:val="18"/>
              </w:rPr>
              <w:t>5</w:t>
            </w:r>
          </w:p>
        </w:tc>
        <w:tc>
          <w:tcPr>
            <w:tcW w:w="883" w:type="dxa"/>
            <w:tcBorders>
              <w:top w:val="nil"/>
              <w:left w:val="nil"/>
              <w:bottom w:val="single" w:sz="4" w:space="0" w:color="auto"/>
              <w:right w:val="single" w:sz="4" w:space="0" w:color="auto"/>
            </w:tcBorders>
            <w:shd w:val="clear" w:color="auto" w:fill="F2F2F2" w:themeFill="background1" w:themeFillShade="F2"/>
            <w:vAlign w:val="center"/>
          </w:tcPr>
          <w:p w14:paraId="5B1C3947" w14:textId="77777777" w:rsidR="00055BFC" w:rsidRPr="00487076" w:rsidRDefault="00055BFC" w:rsidP="00B92127">
            <w:pPr>
              <w:spacing w:line="240" w:lineRule="auto"/>
              <w:jc w:val="center"/>
              <w:rPr>
                <w:sz w:val="18"/>
                <w:szCs w:val="18"/>
              </w:rPr>
            </w:pPr>
            <w:r>
              <w:rPr>
                <w:sz w:val="18"/>
              </w:rPr>
              <w:t>15</w:t>
            </w:r>
          </w:p>
        </w:tc>
        <w:tc>
          <w:tcPr>
            <w:tcW w:w="1008" w:type="dxa"/>
            <w:tcBorders>
              <w:top w:val="nil"/>
              <w:left w:val="nil"/>
              <w:bottom w:val="single" w:sz="4" w:space="0" w:color="auto"/>
              <w:right w:val="single" w:sz="4" w:space="0" w:color="auto"/>
            </w:tcBorders>
            <w:shd w:val="clear" w:color="auto" w:fill="F2F2F2" w:themeFill="background1" w:themeFillShade="F2"/>
            <w:vAlign w:val="center"/>
          </w:tcPr>
          <w:p w14:paraId="64CE486F" w14:textId="77777777" w:rsidR="00055BFC" w:rsidRPr="00487076" w:rsidRDefault="00055BFC" w:rsidP="00B92127">
            <w:pPr>
              <w:spacing w:line="240" w:lineRule="auto"/>
              <w:jc w:val="center"/>
              <w:rPr>
                <w:i/>
                <w:iCs/>
                <w:sz w:val="18"/>
                <w:szCs w:val="18"/>
              </w:rPr>
            </w:pPr>
            <w:r>
              <w:rPr>
                <w:i/>
                <w:sz w:val="18"/>
              </w:rPr>
              <w:t>11</w:t>
            </w:r>
          </w:p>
        </w:tc>
      </w:tr>
      <w:tr w:rsidR="00055BFC" w:rsidRPr="00487076" w14:paraId="64C9E1F5" w14:textId="77777777" w:rsidTr="00B92127">
        <w:trPr>
          <w:trHeight w:val="288"/>
          <w:jc w:val="right"/>
        </w:trPr>
        <w:tc>
          <w:tcPr>
            <w:tcW w:w="1964" w:type="dxa"/>
            <w:tcBorders>
              <w:top w:val="nil"/>
              <w:left w:val="single" w:sz="4" w:space="0" w:color="auto"/>
              <w:bottom w:val="single" w:sz="4" w:space="0" w:color="auto"/>
              <w:right w:val="single" w:sz="4" w:space="0" w:color="auto"/>
            </w:tcBorders>
            <w:shd w:val="clear" w:color="auto" w:fill="auto"/>
            <w:noWrap/>
            <w:vAlign w:val="center"/>
          </w:tcPr>
          <w:p w14:paraId="02044642" w14:textId="77777777" w:rsidR="00055BFC" w:rsidRPr="00487076" w:rsidRDefault="00055BFC" w:rsidP="00B92127">
            <w:pPr>
              <w:spacing w:line="240" w:lineRule="auto"/>
              <w:ind w:right="-303"/>
              <w:rPr>
                <w:sz w:val="18"/>
                <w:szCs w:val="18"/>
              </w:rPr>
            </w:pPr>
            <w:r>
              <w:rPr>
                <w:sz w:val="18"/>
              </w:rPr>
              <w:t>Арабские страны</w:t>
            </w:r>
          </w:p>
        </w:tc>
        <w:tc>
          <w:tcPr>
            <w:tcW w:w="863" w:type="dxa"/>
            <w:tcBorders>
              <w:top w:val="nil"/>
              <w:left w:val="nil"/>
              <w:bottom w:val="single" w:sz="4" w:space="0" w:color="auto"/>
              <w:right w:val="single" w:sz="4" w:space="0" w:color="auto"/>
            </w:tcBorders>
            <w:shd w:val="clear" w:color="auto" w:fill="auto"/>
            <w:noWrap/>
            <w:vAlign w:val="center"/>
          </w:tcPr>
          <w:p w14:paraId="7907F3C4" w14:textId="77777777" w:rsidR="00055BFC" w:rsidRPr="00487076" w:rsidRDefault="00055BFC" w:rsidP="00B92127">
            <w:pPr>
              <w:spacing w:line="240" w:lineRule="auto"/>
              <w:ind w:left="-110" w:right="-133"/>
              <w:jc w:val="center"/>
              <w:rPr>
                <w:sz w:val="18"/>
                <w:szCs w:val="18"/>
              </w:rPr>
            </w:pPr>
            <w:r>
              <w:rPr>
                <w:sz w:val="18"/>
              </w:rPr>
              <w:t>31</w:t>
            </w:r>
          </w:p>
        </w:tc>
        <w:tc>
          <w:tcPr>
            <w:tcW w:w="1137" w:type="dxa"/>
            <w:tcBorders>
              <w:top w:val="nil"/>
              <w:left w:val="nil"/>
              <w:bottom w:val="single" w:sz="4" w:space="0" w:color="auto"/>
              <w:right w:val="single" w:sz="4" w:space="0" w:color="auto"/>
            </w:tcBorders>
            <w:shd w:val="clear" w:color="auto" w:fill="F2F2F2" w:themeFill="background1" w:themeFillShade="F2"/>
            <w:noWrap/>
            <w:vAlign w:val="center"/>
          </w:tcPr>
          <w:p w14:paraId="411FA356" w14:textId="77777777" w:rsidR="00055BFC" w:rsidRPr="00487076" w:rsidRDefault="00055BFC" w:rsidP="00B92127">
            <w:pPr>
              <w:spacing w:line="240" w:lineRule="auto"/>
              <w:ind w:right="-173"/>
              <w:jc w:val="center"/>
              <w:rPr>
                <w:i/>
                <w:iCs/>
                <w:sz w:val="18"/>
                <w:szCs w:val="18"/>
              </w:rPr>
            </w:pPr>
            <w:r>
              <w:rPr>
                <w:i/>
                <w:sz w:val="18"/>
              </w:rPr>
              <w:t>26</w:t>
            </w:r>
          </w:p>
        </w:tc>
        <w:tc>
          <w:tcPr>
            <w:tcW w:w="735" w:type="dxa"/>
            <w:tcBorders>
              <w:top w:val="nil"/>
              <w:left w:val="nil"/>
              <w:bottom w:val="single" w:sz="4" w:space="0" w:color="auto"/>
              <w:right w:val="single" w:sz="4" w:space="0" w:color="auto"/>
            </w:tcBorders>
            <w:noWrap/>
            <w:vAlign w:val="center"/>
          </w:tcPr>
          <w:p w14:paraId="75C9F1D5" w14:textId="77777777" w:rsidR="00055BFC" w:rsidRPr="00487076" w:rsidRDefault="00055BFC" w:rsidP="00B92127">
            <w:pPr>
              <w:spacing w:line="240" w:lineRule="auto"/>
              <w:jc w:val="center"/>
              <w:rPr>
                <w:sz w:val="18"/>
                <w:szCs w:val="18"/>
              </w:rPr>
            </w:pPr>
            <w:r>
              <w:rPr>
                <w:sz w:val="18"/>
              </w:rPr>
              <w:t>33</w:t>
            </w:r>
          </w:p>
        </w:tc>
        <w:tc>
          <w:tcPr>
            <w:tcW w:w="966" w:type="dxa"/>
            <w:tcBorders>
              <w:top w:val="nil"/>
              <w:left w:val="nil"/>
              <w:bottom w:val="single" w:sz="4" w:space="0" w:color="auto"/>
              <w:right w:val="single" w:sz="4" w:space="0" w:color="auto"/>
            </w:tcBorders>
            <w:shd w:val="clear" w:color="auto" w:fill="F2F2F2" w:themeFill="background1" w:themeFillShade="F2"/>
            <w:noWrap/>
            <w:vAlign w:val="center"/>
          </w:tcPr>
          <w:p w14:paraId="5F4F5F2E" w14:textId="77777777" w:rsidR="00055BFC" w:rsidRPr="00487076" w:rsidRDefault="00055BFC" w:rsidP="00B92127">
            <w:pPr>
              <w:spacing w:line="240" w:lineRule="auto"/>
              <w:ind w:right="-93"/>
              <w:jc w:val="center"/>
              <w:rPr>
                <w:i/>
                <w:iCs/>
                <w:sz w:val="18"/>
                <w:szCs w:val="18"/>
              </w:rPr>
            </w:pPr>
            <w:r>
              <w:rPr>
                <w:i/>
                <w:sz w:val="18"/>
              </w:rPr>
              <w:t>20</w:t>
            </w:r>
          </w:p>
        </w:tc>
        <w:tc>
          <w:tcPr>
            <w:tcW w:w="906" w:type="dxa"/>
            <w:tcBorders>
              <w:top w:val="nil"/>
              <w:left w:val="nil"/>
              <w:bottom w:val="single" w:sz="4" w:space="0" w:color="auto"/>
              <w:right w:val="single" w:sz="4" w:space="0" w:color="auto"/>
            </w:tcBorders>
            <w:shd w:val="clear" w:color="auto" w:fill="auto"/>
            <w:vAlign w:val="center"/>
          </w:tcPr>
          <w:p w14:paraId="030349A5" w14:textId="77777777" w:rsidR="00055BFC" w:rsidRPr="00487076" w:rsidRDefault="00055BFC" w:rsidP="00B92127">
            <w:pPr>
              <w:spacing w:line="240" w:lineRule="auto"/>
              <w:jc w:val="center"/>
              <w:rPr>
                <w:sz w:val="18"/>
                <w:szCs w:val="18"/>
              </w:rPr>
            </w:pPr>
            <w:r>
              <w:rPr>
                <w:sz w:val="18"/>
              </w:rPr>
              <w:t>27</w:t>
            </w:r>
          </w:p>
        </w:tc>
        <w:tc>
          <w:tcPr>
            <w:tcW w:w="989" w:type="dxa"/>
            <w:tcBorders>
              <w:top w:val="nil"/>
              <w:left w:val="nil"/>
              <w:bottom w:val="single" w:sz="4" w:space="0" w:color="auto"/>
              <w:right w:val="single" w:sz="4" w:space="0" w:color="auto"/>
            </w:tcBorders>
            <w:shd w:val="clear" w:color="auto" w:fill="F2F2F2" w:themeFill="background1" w:themeFillShade="F2"/>
            <w:vAlign w:val="center"/>
          </w:tcPr>
          <w:p w14:paraId="302D01EE" w14:textId="77777777" w:rsidR="00055BFC" w:rsidRPr="00487076" w:rsidRDefault="00055BFC" w:rsidP="00B92127">
            <w:pPr>
              <w:spacing w:line="240" w:lineRule="auto"/>
              <w:jc w:val="center"/>
              <w:rPr>
                <w:i/>
                <w:iCs/>
                <w:sz w:val="18"/>
                <w:szCs w:val="18"/>
              </w:rPr>
            </w:pPr>
            <w:r>
              <w:rPr>
                <w:i/>
                <w:sz w:val="18"/>
              </w:rPr>
              <w:t>16</w:t>
            </w:r>
          </w:p>
        </w:tc>
        <w:tc>
          <w:tcPr>
            <w:tcW w:w="883" w:type="dxa"/>
            <w:tcBorders>
              <w:top w:val="nil"/>
              <w:left w:val="nil"/>
              <w:bottom w:val="single" w:sz="4" w:space="0" w:color="auto"/>
              <w:right w:val="single" w:sz="4" w:space="0" w:color="auto"/>
            </w:tcBorders>
            <w:shd w:val="clear" w:color="auto" w:fill="F2F2F2" w:themeFill="background1" w:themeFillShade="F2"/>
            <w:vAlign w:val="center"/>
          </w:tcPr>
          <w:p w14:paraId="49AFC9C6" w14:textId="77777777" w:rsidR="00055BFC" w:rsidRPr="00487076" w:rsidRDefault="00055BFC" w:rsidP="00B92127">
            <w:pPr>
              <w:spacing w:line="240" w:lineRule="auto"/>
              <w:jc w:val="center"/>
              <w:rPr>
                <w:sz w:val="18"/>
                <w:szCs w:val="18"/>
              </w:rPr>
            </w:pPr>
            <w:r>
              <w:rPr>
                <w:sz w:val="18"/>
              </w:rPr>
              <w:t>20</w:t>
            </w:r>
          </w:p>
        </w:tc>
        <w:tc>
          <w:tcPr>
            <w:tcW w:w="1008" w:type="dxa"/>
            <w:tcBorders>
              <w:top w:val="nil"/>
              <w:left w:val="nil"/>
              <w:bottom w:val="single" w:sz="4" w:space="0" w:color="auto"/>
              <w:right w:val="single" w:sz="4" w:space="0" w:color="auto"/>
            </w:tcBorders>
            <w:shd w:val="clear" w:color="auto" w:fill="F2F2F2" w:themeFill="background1" w:themeFillShade="F2"/>
            <w:vAlign w:val="center"/>
          </w:tcPr>
          <w:p w14:paraId="77DC9841" w14:textId="77777777" w:rsidR="00055BFC" w:rsidRPr="00487076" w:rsidRDefault="00055BFC" w:rsidP="00B92127">
            <w:pPr>
              <w:spacing w:line="240" w:lineRule="auto"/>
              <w:jc w:val="center"/>
              <w:rPr>
                <w:i/>
                <w:iCs/>
                <w:sz w:val="18"/>
                <w:szCs w:val="18"/>
              </w:rPr>
            </w:pPr>
            <w:r>
              <w:rPr>
                <w:i/>
                <w:sz w:val="18"/>
              </w:rPr>
              <w:t>15</w:t>
            </w:r>
          </w:p>
        </w:tc>
      </w:tr>
      <w:tr w:rsidR="00055BFC" w:rsidRPr="00487076" w14:paraId="7676F6E1" w14:textId="77777777" w:rsidTr="00B92127">
        <w:trPr>
          <w:trHeight w:val="288"/>
          <w:jc w:val="right"/>
        </w:trPr>
        <w:tc>
          <w:tcPr>
            <w:tcW w:w="1964" w:type="dxa"/>
            <w:tcBorders>
              <w:top w:val="nil"/>
              <w:left w:val="single" w:sz="4" w:space="0" w:color="auto"/>
              <w:bottom w:val="single" w:sz="4" w:space="0" w:color="auto"/>
              <w:right w:val="single" w:sz="4" w:space="0" w:color="auto"/>
            </w:tcBorders>
            <w:shd w:val="clear" w:color="auto" w:fill="auto"/>
            <w:noWrap/>
            <w:vAlign w:val="center"/>
          </w:tcPr>
          <w:p w14:paraId="2FEE6705" w14:textId="77777777" w:rsidR="00055BFC" w:rsidRPr="00487076" w:rsidRDefault="00055BFC" w:rsidP="00B92127">
            <w:pPr>
              <w:spacing w:line="240" w:lineRule="auto"/>
              <w:ind w:right="-303"/>
              <w:rPr>
                <w:rFonts w:eastAsia="Times New Roman"/>
                <w:sz w:val="18"/>
                <w:szCs w:val="18"/>
              </w:rPr>
            </w:pPr>
            <w:r>
              <w:rPr>
                <w:sz w:val="18"/>
              </w:rPr>
              <w:t>Азиатско-Тихоокеанский регион</w:t>
            </w:r>
          </w:p>
        </w:tc>
        <w:tc>
          <w:tcPr>
            <w:tcW w:w="863" w:type="dxa"/>
            <w:tcBorders>
              <w:top w:val="nil"/>
              <w:left w:val="nil"/>
              <w:bottom w:val="single" w:sz="4" w:space="0" w:color="auto"/>
              <w:right w:val="single" w:sz="4" w:space="0" w:color="auto"/>
            </w:tcBorders>
            <w:shd w:val="clear" w:color="auto" w:fill="auto"/>
            <w:noWrap/>
            <w:vAlign w:val="center"/>
          </w:tcPr>
          <w:p w14:paraId="67F2FDAF" w14:textId="77777777" w:rsidR="00055BFC" w:rsidRPr="00487076" w:rsidRDefault="00055BFC" w:rsidP="00B92127">
            <w:pPr>
              <w:spacing w:line="240" w:lineRule="auto"/>
              <w:ind w:left="-110" w:right="-133"/>
              <w:jc w:val="center"/>
              <w:rPr>
                <w:rFonts w:eastAsia="Times New Roman"/>
                <w:sz w:val="18"/>
                <w:szCs w:val="18"/>
              </w:rPr>
            </w:pPr>
            <w:r>
              <w:rPr>
                <w:sz w:val="18"/>
              </w:rPr>
              <w:t>14</w:t>
            </w:r>
          </w:p>
        </w:tc>
        <w:tc>
          <w:tcPr>
            <w:tcW w:w="1137" w:type="dxa"/>
            <w:tcBorders>
              <w:top w:val="nil"/>
              <w:left w:val="nil"/>
              <w:bottom w:val="single" w:sz="4" w:space="0" w:color="auto"/>
              <w:right w:val="single" w:sz="4" w:space="0" w:color="auto"/>
            </w:tcBorders>
            <w:shd w:val="clear" w:color="auto" w:fill="F2F2F2" w:themeFill="background1" w:themeFillShade="F2"/>
            <w:noWrap/>
            <w:vAlign w:val="center"/>
          </w:tcPr>
          <w:p w14:paraId="6FFB1EBA" w14:textId="77777777" w:rsidR="00055BFC" w:rsidRPr="00487076" w:rsidRDefault="00055BFC" w:rsidP="00B92127">
            <w:pPr>
              <w:spacing w:line="240" w:lineRule="auto"/>
              <w:ind w:right="-173"/>
              <w:jc w:val="center"/>
              <w:rPr>
                <w:rFonts w:eastAsia="Times New Roman"/>
                <w:i/>
                <w:iCs/>
                <w:sz w:val="18"/>
                <w:szCs w:val="18"/>
              </w:rPr>
            </w:pPr>
            <w:r>
              <w:rPr>
                <w:i/>
                <w:sz w:val="18"/>
              </w:rPr>
              <w:t>12</w:t>
            </w:r>
          </w:p>
        </w:tc>
        <w:tc>
          <w:tcPr>
            <w:tcW w:w="735" w:type="dxa"/>
            <w:tcBorders>
              <w:top w:val="nil"/>
              <w:left w:val="nil"/>
              <w:bottom w:val="single" w:sz="4" w:space="0" w:color="auto"/>
              <w:right w:val="single" w:sz="4" w:space="0" w:color="auto"/>
            </w:tcBorders>
            <w:noWrap/>
            <w:vAlign w:val="center"/>
          </w:tcPr>
          <w:p w14:paraId="0FD6C4F4" w14:textId="77777777" w:rsidR="00055BFC" w:rsidRPr="00487076" w:rsidRDefault="00055BFC" w:rsidP="00B92127">
            <w:pPr>
              <w:spacing w:line="240" w:lineRule="auto"/>
              <w:jc w:val="center"/>
              <w:rPr>
                <w:rFonts w:eastAsia="Times New Roman"/>
                <w:color w:val="000000"/>
                <w:sz w:val="18"/>
                <w:szCs w:val="18"/>
              </w:rPr>
            </w:pPr>
            <w:r>
              <w:rPr>
                <w:sz w:val="18"/>
              </w:rPr>
              <w:t>42</w:t>
            </w:r>
          </w:p>
        </w:tc>
        <w:tc>
          <w:tcPr>
            <w:tcW w:w="966" w:type="dxa"/>
            <w:tcBorders>
              <w:top w:val="nil"/>
              <w:left w:val="nil"/>
              <w:bottom w:val="single" w:sz="4" w:space="0" w:color="auto"/>
              <w:right w:val="single" w:sz="4" w:space="0" w:color="auto"/>
            </w:tcBorders>
            <w:shd w:val="clear" w:color="auto" w:fill="F2F2F2" w:themeFill="background1" w:themeFillShade="F2"/>
            <w:noWrap/>
            <w:vAlign w:val="center"/>
          </w:tcPr>
          <w:p w14:paraId="3D4E7006" w14:textId="77777777" w:rsidR="00055BFC" w:rsidRPr="00487076" w:rsidRDefault="00055BFC" w:rsidP="00B92127">
            <w:pPr>
              <w:spacing w:line="240" w:lineRule="auto"/>
              <w:ind w:right="-93"/>
              <w:jc w:val="center"/>
              <w:rPr>
                <w:rFonts w:eastAsia="Times New Roman"/>
                <w:i/>
                <w:iCs/>
                <w:color w:val="000000"/>
                <w:sz w:val="18"/>
                <w:szCs w:val="18"/>
              </w:rPr>
            </w:pPr>
            <w:r>
              <w:rPr>
                <w:i/>
                <w:sz w:val="18"/>
              </w:rPr>
              <w:t>25</w:t>
            </w:r>
          </w:p>
        </w:tc>
        <w:tc>
          <w:tcPr>
            <w:tcW w:w="906" w:type="dxa"/>
            <w:tcBorders>
              <w:top w:val="nil"/>
              <w:left w:val="nil"/>
              <w:bottom w:val="single" w:sz="4" w:space="0" w:color="auto"/>
              <w:right w:val="single" w:sz="4" w:space="0" w:color="auto"/>
            </w:tcBorders>
            <w:shd w:val="clear" w:color="auto" w:fill="auto"/>
            <w:vAlign w:val="center"/>
          </w:tcPr>
          <w:p w14:paraId="052C768B" w14:textId="77777777" w:rsidR="00055BFC" w:rsidRPr="00487076" w:rsidRDefault="00055BFC" w:rsidP="00B92127">
            <w:pPr>
              <w:spacing w:line="240" w:lineRule="auto"/>
              <w:jc w:val="center"/>
              <w:rPr>
                <w:sz w:val="18"/>
                <w:szCs w:val="18"/>
              </w:rPr>
            </w:pPr>
            <w:r>
              <w:rPr>
                <w:sz w:val="18"/>
              </w:rPr>
              <w:t>48</w:t>
            </w:r>
          </w:p>
        </w:tc>
        <w:tc>
          <w:tcPr>
            <w:tcW w:w="989" w:type="dxa"/>
            <w:tcBorders>
              <w:top w:val="nil"/>
              <w:left w:val="nil"/>
              <w:bottom w:val="single" w:sz="4" w:space="0" w:color="auto"/>
              <w:right w:val="single" w:sz="4" w:space="0" w:color="auto"/>
            </w:tcBorders>
            <w:shd w:val="clear" w:color="auto" w:fill="F2F2F2" w:themeFill="background1" w:themeFillShade="F2"/>
            <w:vAlign w:val="center"/>
          </w:tcPr>
          <w:p w14:paraId="15CC563D" w14:textId="77777777" w:rsidR="00055BFC" w:rsidRPr="00487076" w:rsidRDefault="00055BFC" w:rsidP="00B92127">
            <w:pPr>
              <w:spacing w:line="240" w:lineRule="auto"/>
              <w:jc w:val="center"/>
              <w:rPr>
                <w:i/>
                <w:iCs/>
                <w:sz w:val="18"/>
                <w:szCs w:val="18"/>
              </w:rPr>
            </w:pPr>
            <w:r>
              <w:rPr>
                <w:i/>
                <w:sz w:val="18"/>
              </w:rPr>
              <w:t>29</w:t>
            </w:r>
          </w:p>
        </w:tc>
        <w:tc>
          <w:tcPr>
            <w:tcW w:w="883" w:type="dxa"/>
            <w:tcBorders>
              <w:top w:val="nil"/>
              <w:left w:val="nil"/>
              <w:bottom w:val="single" w:sz="4" w:space="0" w:color="auto"/>
              <w:right w:val="single" w:sz="4" w:space="0" w:color="auto"/>
            </w:tcBorders>
            <w:shd w:val="clear" w:color="auto" w:fill="F2F2F2" w:themeFill="background1" w:themeFillShade="F2"/>
            <w:vAlign w:val="center"/>
          </w:tcPr>
          <w:p w14:paraId="5B152E49" w14:textId="77777777" w:rsidR="00055BFC" w:rsidRPr="00487076" w:rsidRDefault="00055BFC" w:rsidP="00B92127">
            <w:pPr>
              <w:spacing w:line="240" w:lineRule="auto"/>
              <w:jc w:val="center"/>
              <w:rPr>
                <w:sz w:val="18"/>
                <w:szCs w:val="18"/>
              </w:rPr>
            </w:pPr>
            <w:r>
              <w:rPr>
                <w:sz w:val="18"/>
              </w:rPr>
              <w:t>23</w:t>
            </w:r>
          </w:p>
        </w:tc>
        <w:tc>
          <w:tcPr>
            <w:tcW w:w="1008" w:type="dxa"/>
            <w:tcBorders>
              <w:top w:val="nil"/>
              <w:left w:val="nil"/>
              <w:bottom w:val="single" w:sz="4" w:space="0" w:color="auto"/>
              <w:right w:val="single" w:sz="4" w:space="0" w:color="auto"/>
            </w:tcBorders>
            <w:shd w:val="clear" w:color="auto" w:fill="F2F2F2" w:themeFill="background1" w:themeFillShade="F2"/>
            <w:vAlign w:val="center"/>
          </w:tcPr>
          <w:p w14:paraId="569D9556" w14:textId="77777777" w:rsidR="00055BFC" w:rsidRPr="00487076" w:rsidRDefault="00055BFC" w:rsidP="00B92127">
            <w:pPr>
              <w:spacing w:line="240" w:lineRule="auto"/>
              <w:jc w:val="center"/>
              <w:rPr>
                <w:i/>
                <w:iCs/>
                <w:sz w:val="18"/>
                <w:szCs w:val="18"/>
              </w:rPr>
            </w:pPr>
            <w:r>
              <w:rPr>
                <w:i/>
                <w:sz w:val="18"/>
              </w:rPr>
              <w:t>17</w:t>
            </w:r>
          </w:p>
        </w:tc>
      </w:tr>
      <w:tr w:rsidR="00055BFC" w:rsidRPr="00487076" w14:paraId="7CAFD9E3" w14:textId="77777777" w:rsidTr="00B92127">
        <w:trPr>
          <w:trHeight w:val="288"/>
          <w:jc w:val="right"/>
        </w:trPr>
        <w:tc>
          <w:tcPr>
            <w:tcW w:w="1964" w:type="dxa"/>
            <w:tcBorders>
              <w:top w:val="nil"/>
              <w:left w:val="single" w:sz="4" w:space="0" w:color="auto"/>
              <w:bottom w:val="single" w:sz="4" w:space="0" w:color="auto"/>
              <w:right w:val="single" w:sz="4" w:space="0" w:color="auto"/>
            </w:tcBorders>
            <w:shd w:val="clear" w:color="auto" w:fill="auto"/>
            <w:noWrap/>
            <w:vAlign w:val="center"/>
          </w:tcPr>
          <w:p w14:paraId="4CEA127E" w14:textId="77777777" w:rsidR="00055BFC" w:rsidRPr="00487076" w:rsidRDefault="00055BFC" w:rsidP="00B92127">
            <w:pPr>
              <w:spacing w:line="240" w:lineRule="auto"/>
              <w:ind w:right="-123"/>
              <w:rPr>
                <w:rFonts w:eastAsia="Times New Roman"/>
                <w:sz w:val="18"/>
                <w:szCs w:val="18"/>
              </w:rPr>
            </w:pPr>
            <w:r>
              <w:rPr>
                <w:sz w:val="18"/>
              </w:rPr>
              <w:t>Восточная и Южная Африка</w:t>
            </w:r>
          </w:p>
        </w:tc>
        <w:tc>
          <w:tcPr>
            <w:tcW w:w="863" w:type="dxa"/>
            <w:tcBorders>
              <w:top w:val="nil"/>
              <w:left w:val="nil"/>
              <w:bottom w:val="single" w:sz="4" w:space="0" w:color="auto"/>
              <w:right w:val="single" w:sz="4" w:space="0" w:color="auto"/>
            </w:tcBorders>
            <w:shd w:val="clear" w:color="auto" w:fill="auto"/>
            <w:noWrap/>
            <w:vAlign w:val="center"/>
          </w:tcPr>
          <w:p w14:paraId="4AD4563F" w14:textId="77777777" w:rsidR="00055BFC" w:rsidRPr="00487076" w:rsidRDefault="00055BFC" w:rsidP="00B92127">
            <w:pPr>
              <w:spacing w:line="240" w:lineRule="auto"/>
              <w:ind w:left="-110" w:right="-133"/>
              <w:jc w:val="center"/>
              <w:rPr>
                <w:rFonts w:eastAsia="Times New Roman"/>
                <w:sz w:val="18"/>
                <w:szCs w:val="18"/>
              </w:rPr>
            </w:pPr>
            <w:r>
              <w:rPr>
                <w:sz w:val="18"/>
              </w:rPr>
              <w:t>37</w:t>
            </w:r>
          </w:p>
        </w:tc>
        <w:tc>
          <w:tcPr>
            <w:tcW w:w="1137" w:type="dxa"/>
            <w:tcBorders>
              <w:top w:val="nil"/>
              <w:left w:val="nil"/>
              <w:bottom w:val="single" w:sz="4" w:space="0" w:color="auto"/>
              <w:right w:val="single" w:sz="4" w:space="0" w:color="auto"/>
            </w:tcBorders>
            <w:shd w:val="clear" w:color="auto" w:fill="F2F2F2" w:themeFill="background1" w:themeFillShade="F2"/>
            <w:noWrap/>
            <w:vAlign w:val="center"/>
          </w:tcPr>
          <w:p w14:paraId="4EFD8CFF" w14:textId="77777777" w:rsidR="00055BFC" w:rsidRPr="00487076" w:rsidRDefault="00055BFC" w:rsidP="00B92127">
            <w:pPr>
              <w:spacing w:line="240" w:lineRule="auto"/>
              <w:ind w:right="-173"/>
              <w:jc w:val="center"/>
              <w:rPr>
                <w:rFonts w:eastAsia="Times New Roman"/>
                <w:i/>
                <w:iCs/>
                <w:sz w:val="18"/>
                <w:szCs w:val="18"/>
              </w:rPr>
            </w:pPr>
            <w:r>
              <w:rPr>
                <w:i/>
                <w:sz w:val="18"/>
              </w:rPr>
              <w:t>32</w:t>
            </w:r>
          </w:p>
        </w:tc>
        <w:tc>
          <w:tcPr>
            <w:tcW w:w="735" w:type="dxa"/>
            <w:tcBorders>
              <w:top w:val="nil"/>
              <w:left w:val="nil"/>
              <w:bottom w:val="single" w:sz="4" w:space="0" w:color="auto"/>
              <w:right w:val="single" w:sz="4" w:space="0" w:color="auto"/>
            </w:tcBorders>
            <w:noWrap/>
            <w:vAlign w:val="center"/>
          </w:tcPr>
          <w:p w14:paraId="7016F1DE" w14:textId="77777777" w:rsidR="00055BFC" w:rsidRPr="00487076" w:rsidRDefault="00055BFC" w:rsidP="00B92127">
            <w:pPr>
              <w:spacing w:line="240" w:lineRule="auto"/>
              <w:jc w:val="center"/>
              <w:rPr>
                <w:rFonts w:eastAsia="Times New Roman"/>
                <w:color w:val="000000"/>
                <w:sz w:val="18"/>
                <w:szCs w:val="18"/>
              </w:rPr>
            </w:pPr>
            <w:r>
              <w:rPr>
                <w:sz w:val="18"/>
              </w:rPr>
              <w:t>31</w:t>
            </w:r>
          </w:p>
        </w:tc>
        <w:tc>
          <w:tcPr>
            <w:tcW w:w="966" w:type="dxa"/>
            <w:tcBorders>
              <w:top w:val="nil"/>
              <w:left w:val="nil"/>
              <w:bottom w:val="single" w:sz="4" w:space="0" w:color="auto"/>
              <w:right w:val="single" w:sz="4" w:space="0" w:color="auto"/>
            </w:tcBorders>
            <w:shd w:val="clear" w:color="auto" w:fill="F2F2F2" w:themeFill="background1" w:themeFillShade="F2"/>
            <w:noWrap/>
            <w:vAlign w:val="center"/>
          </w:tcPr>
          <w:p w14:paraId="3B49CCAE" w14:textId="77777777" w:rsidR="00055BFC" w:rsidRPr="00487076" w:rsidRDefault="00055BFC" w:rsidP="00B92127">
            <w:pPr>
              <w:spacing w:line="240" w:lineRule="auto"/>
              <w:ind w:right="-93"/>
              <w:jc w:val="center"/>
              <w:rPr>
                <w:rFonts w:eastAsia="Times New Roman"/>
                <w:i/>
                <w:iCs/>
                <w:color w:val="000000"/>
                <w:sz w:val="18"/>
                <w:szCs w:val="18"/>
              </w:rPr>
            </w:pPr>
            <w:r>
              <w:rPr>
                <w:i/>
                <w:sz w:val="18"/>
              </w:rPr>
              <w:t>19</w:t>
            </w:r>
          </w:p>
        </w:tc>
        <w:tc>
          <w:tcPr>
            <w:tcW w:w="906" w:type="dxa"/>
            <w:tcBorders>
              <w:top w:val="nil"/>
              <w:left w:val="nil"/>
              <w:bottom w:val="single" w:sz="4" w:space="0" w:color="auto"/>
              <w:right w:val="single" w:sz="4" w:space="0" w:color="auto"/>
            </w:tcBorders>
            <w:shd w:val="clear" w:color="auto" w:fill="auto"/>
            <w:vAlign w:val="center"/>
          </w:tcPr>
          <w:p w14:paraId="193E12F1" w14:textId="77777777" w:rsidR="00055BFC" w:rsidRPr="00487076" w:rsidRDefault="00055BFC" w:rsidP="00B92127">
            <w:pPr>
              <w:spacing w:line="240" w:lineRule="auto"/>
              <w:jc w:val="center"/>
              <w:rPr>
                <w:sz w:val="18"/>
                <w:szCs w:val="18"/>
              </w:rPr>
            </w:pPr>
            <w:r>
              <w:rPr>
                <w:sz w:val="18"/>
              </w:rPr>
              <w:t>43</w:t>
            </w:r>
          </w:p>
        </w:tc>
        <w:tc>
          <w:tcPr>
            <w:tcW w:w="989" w:type="dxa"/>
            <w:tcBorders>
              <w:top w:val="nil"/>
              <w:left w:val="nil"/>
              <w:bottom w:val="single" w:sz="4" w:space="0" w:color="auto"/>
              <w:right w:val="single" w:sz="4" w:space="0" w:color="auto"/>
            </w:tcBorders>
            <w:shd w:val="clear" w:color="auto" w:fill="F2F2F2" w:themeFill="background1" w:themeFillShade="F2"/>
            <w:vAlign w:val="center"/>
          </w:tcPr>
          <w:p w14:paraId="7D697852" w14:textId="77777777" w:rsidR="00055BFC" w:rsidRPr="00487076" w:rsidRDefault="00055BFC" w:rsidP="00B92127">
            <w:pPr>
              <w:spacing w:line="240" w:lineRule="auto"/>
              <w:jc w:val="center"/>
              <w:rPr>
                <w:i/>
                <w:iCs/>
                <w:sz w:val="18"/>
                <w:szCs w:val="18"/>
              </w:rPr>
            </w:pPr>
            <w:r>
              <w:rPr>
                <w:i/>
                <w:sz w:val="18"/>
              </w:rPr>
              <w:t>26</w:t>
            </w:r>
          </w:p>
        </w:tc>
        <w:tc>
          <w:tcPr>
            <w:tcW w:w="883" w:type="dxa"/>
            <w:tcBorders>
              <w:top w:val="nil"/>
              <w:left w:val="nil"/>
              <w:bottom w:val="single" w:sz="4" w:space="0" w:color="auto"/>
              <w:right w:val="single" w:sz="4" w:space="0" w:color="auto"/>
            </w:tcBorders>
            <w:shd w:val="clear" w:color="auto" w:fill="F2F2F2" w:themeFill="background1" w:themeFillShade="F2"/>
            <w:vAlign w:val="center"/>
          </w:tcPr>
          <w:p w14:paraId="5239DAA6" w14:textId="77777777" w:rsidR="00055BFC" w:rsidRPr="00487076" w:rsidRDefault="00055BFC" w:rsidP="00B92127">
            <w:pPr>
              <w:spacing w:line="240" w:lineRule="auto"/>
              <w:jc w:val="center"/>
              <w:rPr>
                <w:sz w:val="18"/>
                <w:szCs w:val="18"/>
              </w:rPr>
            </w:pPr>
            <w:r>
              <w:rPr>
                <w:sz w:val="18"/>
              </w:rPr>
              <w:t>29</w:t>
            </w:r>
          </w:p>
        </w:tc>
        <w:tc>
          <w:tcPr>
            <w:tcW w:w="1008" w:type="dxa"/>
            <w:tcBorders>
              <w:top w:val="nil"/>
              <w:left w:val="nil"/>
              <w:bottom w:val="single" w:sz="4" w:space="0" w:color="auto"/>
              <w:right w:val="single" w:sz="4" w:space="0" w:color="auto"/>
            </w:tcBorders>
            <w:shd w:val="clear" w:color="auto" w:fill="F2F2F2" w:themeFill="background1" w:themeFillShade="F2"/>
            <w:vAlign w:val="center"/>
          </w:tcPr>
          <w:p w14:paraId="1085EBB3" w14:textId="77777777" w:rsidR="00055BFC" w:rsidRPr="00487076" w:rsidRDefault="00055BFC" w:rsidP="00B92127">
            <w:pPr>
              <w:spacing w:line="240" w:lineRule="auto"/>
              <w:jc w:val="center"/>
              <w:rPr>
                <w:i/>
                <w:iCs/>
                <w:sz w:val="18"/>
                <w:szCs w:val="18"/>
              </w:rPr>
            </w:pPr>
            <w:r>
              <w:rPr>
                <w:i/>
                <w:sz w:val="18"/>
              </w:rPr>
              <w:t>22</w:t>
            </w:r>
          </w:p>
        </w:tc>
      </w:tr>
      <w:tr w:rsidR="00055BFC" w:rsidRPr="00487076" w14:paraId="1D310E8A" w14:textId="77777777" w:rsidTr="00B92127">
        <w:trPr>
          <w:trHeight w:val="288"/>
          <w:jc w:val="right"/>
        </w:trPr>
        <w:tc>
          <w:tcPr>
            <w:tcW w:w="1964" w:type="dxa"/>
            <w:tcBorders>
              <w:top w:val="nil"/>
              <w:left w:val="single" w:sz="4" w:space="0" w:color="auto"/>
              <w:bottom w:val="single" w:sz="4" w:space="0" w:color="auto"/>
              <w:right w:val="single" w:sz="4" w:space="0" w:color="auto"/>
            </w:tcBorders>
            <w:shd w:val="clear" w:color="auto" w:fill="auto"/>
            <w:noWrap/>
            <w:vAlign w:val="center"/>
          </w:tcPr>
          <w:p w14:paraId="0146CB96" w14:textId="77777777" w:rsidR="00055BFC" w:rsidRPr="00487076" w:rsidRDefault="00055BFC" w:rsidP="00B92127">
            <w:pPr>
              <w:spacing w:line="240" w:lineRule="auto"/>
              <w:ind w:right="-205"/>
              <w:rPr>
                <w:rFonts w:eastAsia="Times New Roman"/>
                <w:sz w:val="18"/>
                <w:szCs w:val="18"/>
              </w:rPr>
            </w:pPr>
            <w:r>
              <w:rPr>
                <w:sz w:val="18"/>
              </w:rPr>
              <w:t>Восточная Европа и Центральная Азия</w:t>
            </w:r>
          </w:p>
        </w:tc>
        <w:tc>
          <w:tcPr>
            <w:tcW w:w="863" w:type="dxa"/>
            <w:tcBorders>
              <w:top w:val="nil"/>
              <w:left w:val="nil"/>
              <w:bottom w:val="single" w:sz="4" w:space="0" w:color="auto"/>
              <w:right w:val="single" w:sz="4" w:space="0" w:color="auto"/>
            </w:tcBorders>
            <w:shd w:val="clear" w:color="auto" w:fill="auto"/>
            <w:noWrap/>
            <w:vAlign w:val="center"/>
          </w:tcPr>
          <w:p w14:paraId="13FCDF2F" w14:textId="77777777" w:rsidR="00055BFC" w:rsidRPr="00487076" w:rsidRDefault="00055BFC" w:rsidP="00B92127">
            <w:pPr>
              <w:spacing w:line="240" w:lineRule="auto"/>
              <w:ind w:left="-110" w:right="-133"/>
              <w:jc w:val="center"/>
              <w:rPr>
                <w:rFonts w:eastAsia="Times New Roman"/>
                <w:sz w:val="18"/>
                <w:szCs w:val="18"/>
              </w:rPr>
            </w:pPr>
            <w:r>
              <w:rPr>
                <w:sz w:val="18"/>
              </w:rPr>
              <w:t>4</w:t>
            </w:r>
          </w:p>
        </w:tc>
        <w:tc>
          <w:tcPr>
            <w:tcW w:w="1137" w:type="dxa"/>
            <w:tcBorders>
              <w:top w:val="nil"/>
              <w:left w:val="nil"/>
              <w:bottom w:val="single" w:sz="4" w:space="0" w:color="auto"/>
              <w:right w:val="single" w:sz="4" w:space="0" w:color="auto"/>
            </w:tcBorders>
            <w:shd w:val="clear" w:color="auto" w:fill="F2F2F2" w:themeFill="background1" w:themeFillShade="F2"/>
            <w:noWrap/>
            <w:vAlign w:val="center"/>
          </w:tcPr>
          <w:p w14:paraId="670ACF90" w14:textId="77777777" w:rsidR="00055BFC" w:rsidRPr="00487076" w:rsidRDefault="00055BFC" w:rsidP="00B92127">
            <w:pPr>
              <w:spacing w:line="240" w:lineRule="auto"/>
              <w:ind w:right="-173"/>
              <w:jc w:val="center"/>
              <w:rPr>
                <w:rFonts w:eastAsia="Times New Roman"/>
                <w:i/>
                <w:iCs/>
                <w:sz w:val="18"/>
                <w:szCs w:val="18"/>
              </w:rPr>
            </w:pPr>
            <w:r>
              <w:rPr>
                <w:i/>
                <w:sz w:val="18"/>
              </w:rPr>
              <w:t>3</w:t>
            </w:r>
          </w:p>
        </w:tc>
        <w:tc>
          <w:tcPr>
            <w:tcW w:w="735" w:type="dxa"/>
            <w:tcBorders>
              <w:top w:val="nil"/>
              <w:left w:val="nil"/>
              <w:bottom w:val="single" w:sz="4" w:space="0" w:color="auto"/>
              <w:right w:val="single" w:sz="4" w:space="0" w:color="auto"/>
            </w:tcBorders>
            <w:noWrap/>
            <w:vAlign w:val="center"/>
          </w:tcPr>
          <w:p w14:paraId="24C9A337" w14:textId="77777777" w:rsidR="00055BFC" w:rsidRPr="00487076" w:rsidRDefault="00055BFC" w:rsidP="00B92127">
            <w:pPr>
              <w:spacing w:line="240" w:lineRule="auto"/>
              <w:jc w:val="center"/>
              <w:rPr>
                <w:rFonts w:eastAsia="Times New Roman"/>
                <w:color w:val="000000"/>
                <w:sz w:val="18"/>
                <w:szCs w:val="18"/>
              </w:rPr>
            </w:pPr>
            <w:r>
              <w:rPr>
                <w:sz w:val="18"/>
              </w:rPr>
              <w:t>12</w:t>
            </w:r>
          </w:p>
        </w:tc>
        <w:tc>
          <w:tcPr>
            <w:tcW w:w="966" w:type="dxa"/>
            <w:tcBorders>
              <w:top w:val="nil"/>
              <w:left w:val="nil"/>
              <w:bottom w:val="single" w:sz="4" w:space="0" w:color="auto"/>
              <w:right w:val="single" w:sz="4" w:space="0" w:color="auto"/>
            </w:tcBorders>
            <w:shd w:val="clear" w:color="auto" w:fill="F2F2F2" w:themeFill="background1" w:themeFillShade="F2"/>
            <w:noWrap/>
            <w:vAlign w:val="center"/>
          </w:tcPr>
          <w:p w14:paraId="66873352" w14:textId="77777777" w:rsidR="00055BFC" w:rsidRPr="00487076" w:rsidRDefault="00055BFC" w:rsidP="00B92127">
            <w:pPr>
              <w:spacing w:line="240" w:lineRule="auto"/>
              <w:ind w:right="-93"/>
              <w:jc w:val="center"/>
              <w:rPr>
                <w:rFonts w:eastAsia="Times New Roman"/>
                <w:i/>
                <w:iCs/>
                <w:color w:val="000000"/>
                <w:sz w:val="18"/>
                <w:szCs w:val="18"/>
              </w:rPr>
            </w:pPr>
            <w:r>
              <w:rPr>
                <w:i/>
                <w:sz w:val="18"/>
              </w:rPr>
              <w:t>7</w:t>
            </w:r>
          </w:p>
        </w:tc>
        <w:tc>
          <w:tcPr>
            <w:tcW w:w="906" w:type="dxa"/>
            <w:tcBorders>
              <w:top w:val="nil"/>
              <w:left w:val="nil"/>
              <w:bottom w:val="single" w:sz="4" w:space="0" w:color="auto"/>
              <w:right w:val="single" w:sz="4" w:space="0" w:color="auto"/>
            </w:tcBorders>
            <w:shd w:val="clear" w:color="auto" w:fill="auto"/>
            <w:vAlign w:val="center"/>
          </w:tcPr>
          <w:p w14:paraId="6BC8AF6C" w14:textId="77777777" w:rsidR="00055BFC" w:rsidRPr="00487076" w:rsidRDefault="00055BFC" w:rsidP="00B92127">
            <w:pPr>
              <w:spacing w:line="240" w:lineRule="auto"/>
              <w:jc w:val="center"/>
              <w:rPr>
                <w:sz w:val="18"/>
                <w:szCs w:val="18"/>
              </w:rPr>
            </w:pPr>
            <w:r>
              <w:rPr>
                <w:sz w:val="18"/>
              </w:rPr>
              <w:t>12</w:t>
            </w:r>
          </w:p>
        </w:tc>
        <w:tc>
          <w:tcPr>
            <w:tcW w:w="989" w:type="dxa"/>
            <w:tcBorders>
              <w:top w:val="nil"/>
              <w:left w:val="nil"/>
              <w:bottom w:val="single" w:sz="4" w:space="0" w:color="auto"/>
              <w:right w:val="single" w:sz="4" w:space="0" w:color="auto"/>
            </w:tcBorders>
            <w:shd w:val="clear" w:color="auto" w:fill="F2F2F2" w:themeFill="background1" w:themeFillShade="F2"/>
            <w:vAlign w:val="center"/>
          </w:tcPr>
          <w:p w14:paraId="0CFEABE3" w14:textId="77777777" w:rsidR="00055BFC" w:rsidRPr="00487076" w:rsidRDefault="00055BFC" w:rsidP="00B92127">
            <w:pPr>
              <w:spacing w:line="240" w:lineRule="auto"/>
              <w:jc w:val="center"/>
              <w:rPr>
                <w:i/>
                <w:iCs/>
                <w:sz w:val="18"/>
                <w:szCs w:val="18"/>
              </w:rPr>
            </w:pPr>
            <w:r>
              <w:rPr>
                <w:i/>
                <w:sz w:val="18"/>
              </w:rPr>
              <w:t>7</w:t>
            </w:r>
          </w:p>
        </w:tc>
        <w:tc>
          <w:tcPr>
            <w:tcW w:w="883" w:type="dxa"/>
            <w:tcBorders>
              <w:top w:val="nil"/>
              <w:left w:val="nil"/>
              <w:bottom w:val="single" w:sz="4" w:space="0" w:color="auto"/>
              <w:right w:val="single" w:sz="4" w:space="0" w:color="auto"/>
            </w:tcBorders>
            <w:shd w:val="clear" w:color="auto" w:fill="F2F2F2" w:themeFill="background1" w:themeFillShade="F2"/>
            <w:vAlign w:val="center"/>
          </w:tcPr>
          <w:p w14:paraId="2114DB70" w14:textId="77777777" w:rsidR="00055BFC" w:rsidRPr="00487076" w:rsidRDefault="00055BFC" w:rsidP="00B92127">
            <w:pPr>
              <w:spacing w:line="240" w:lineRule="auto"/>
              <w:jc w:val="center"/>
              <w:rPr>
                <w:sz w:val="18"/>
                <w:szCs w:val="18"/>
              </w:rPr>
            </w:pPr>
            <w:r>
              <w:rPr>
                <w:sz w:val="18"/>
              </w:rPr>
              <w:t>7</w:t>
            </w:r>
          </w:p>
        </w:tc>
        <w:tc>
          <w:tcPr>
            <w:tcW w:w="1008" w:type="dxa"/>
            <w:tcBorders>
              <w:top w:val="nil"/>
              <w:left w:val="nil"/>
              <w:bottom w:val="single" w:sz="4" w:space="0" w:color="auto"/>
              <w:right w:val="single" w:sz="4" w:space="0" w:color="auto"/>
            </w:tcBorders>
            <w:shd w:val="clear" w:color="auto" w:fill="F2F2F2" w:themeFill="background1" w:themeFillShade="F2"/>
            <w:vAlign w:val="center"/>
          </w:tcPr>
          <w:p w14:paraId="38332577" w14:textId="77777777" w:rsidR="00055BFC" w:rsidRPr="00487076" w:rsidRDefault="00055BFC" w:rsidP="00B92127">
            <w:pPr>
              <w:spacing w:line="240" w:lineRule="auto"/>
              <w:jc w:val="center"/>
              <w:rPr>
                <w:i/>
                <w:iCs/>
                <w:sz w:val="18"/>
                <w:szCs w:val="18"/>
              </w:rPr>
            </w:pPr>
            <w:r>
              <w:rPr>
                <w:i/>
                <w:sz w:val="18"/>
              </w:rPr>
              <w:t>5</w:t>
            </w:r>
          </w:p>
        </w:tc>
      </w:tr>
      <w:tr w:rsidR="00055BFC" w:rsidRPr="00487076" w14:paraId="30F2CD6C" w14:textId="77777777" w:rsidTr="00B92127">
        <w:trPr>
          <w:trHeight w:val="288"/>
          <w:jc w:val="right"/>
        </w:trPr>
        <w:tc>
          <w:tcPr>
            <w:tcW w:w="1964" w:type="dxa"/>
            <w:tcBorders>
              <w:top w:val="nil"/>
              <w:left w:val="single" w:sz="4" w:space="0" w:color="auto"/>
              <w:bottom w:val="single" w:sz="4" w:space="0" w:color="auto"/>
              <w:right w:val="single" w:sz="4" w:space="0" w:color="auto"/>
            </w:tcBorders>
            <w:shd w:val="clear" w:color="auto" w:fill="auto"/>
            <w:noWrap/>
            <w:vAlign w:val="center"/>
          </w:tcPr>
          <w:p w14:paraId="7E078278" w14:textId="77777777" w:rsidR="00055BFC" w:rsidRPr="00487076" w:rsidRDefault="00055BFC" w:rsidP="00B92127">
            <w:pPr>
              <w:spacing w:line="240" w:lineRule="auto"/>
              <w:ind w:right="-303"/>
              <w:rPr>
                <w:rFonts w:eastAsia="Times New Roman"/>
                <w:sz w:val="18"/>
                <w:szCs w:val="18"/>
              </w:rPr>
            </w:pPr>
            <w:r>
              <w:rPr>
                <w:sz w:val="18"/>
              </w:rPr>
              <w:t>Латинская Америка и Карибский бассейн</w:t>
            </w:r>
          </w:p>
        </w:tc>
        <w:tc>
          <w:tcPr>
            <w:tcW w:w="863" w:type="dxa"/>
            <w:tcBorders>
              <w:top w:val="nil"/>
              <w:left w:val="nil"/>
              <w:bottom w:val="single" w:sz="4" w:space="0" w:color="auto"/>
              <w:right w:val="single" w:sz="4" w:space="0" w:color="auto"/>
            </w:tcBorders>
            <w:shd w:val="clear" w:color="auto" w:fill="auto"/>
            <w:noWrap/>
            <w:vAlign w:val="center"/>
          </w:tcPr>
          <w:p w14:paraId="01253A98" w14:textId="77777777" w:rsidR="00055BFC" w:rsidRPr="00487076" w:rsidRDefault="00055BFC" w:rsidP="00B92127">
            <w:pPr>
              <w:spacing w:line="240" w:lineRule="auto"/>
              <w:ind w:left="-110" w:right="-133"/>
              <w:jc w:val="center"/>
              <w:rPr>
                <w:rFonts w:eastAsia="Times New Roman"/>
                <w:sz w:val="18"/>
                <w:szCs w:val="18"/>
              </w:rPr>
            </w:pPr>
            <w:r>
              <w:rPr>
                <w:sz w:val="18"/>
              </w:rPr>
              <w:t>5</w:t>
            </w:r>
          </w:p>
        </w:tc>
        <w:tc>
          <w:tcPr>
            <w:tcW w:w="1137" w:type="dxa"/>
            <w:tcBorders>
              <w:top w:val="nil"/>
              <w:left w:val="nil"/>
              <w:bottom w:val="single" w:sz="4" w:space="0" w:color="auto"/>
              <w:right w:val="single" w:sz="4" w:space="0" w:color="auto"/>
            </w:tcBorders>
            <w:shd w:val="clear" w:color="auto" w:fill="F2F2F2" w:themeFill="background1" w:themeFillShade="F2"/>
            <w:noWrap/>
            <w:vAlign w:val="center"/>
          </w:tcPr>
          <w:p w14:paraId="0C459C95" w14:textId="77777777" w:rsidR="00055BFC" w:rsidRPr="00487076" w:rsidRDefault="00055BFC" w:rsidP="00B92127">
            <w:pPr>
              <w:spacing w:line="240" w:lineRule="auto"/>
              <w:ind w:right="-173"/>
              <w:jc w:val="center"/>
              <w:rPr>
                <w:rFonts w:eastAsia="Times New Roman"/>
                <w:bCs/>
                <w:i/>
                <w:iCs/>
                <w:sz w:val="18"/>
                <w:szCs w:val="18"/>
              </w:rPr>
            </w:pPr>
            <w:r>
              <w:rPr>
                <w:i/>
                <w:sz w:val="18"/>
              </w:rPr>
              <w:t>4</w:t>
            </w:r>
          </w:p>
        </w:tc>
        <w:tc>
          <w:tcPr>
            <w:tcW w:w="735" w:type="dxa"/>
            <w:tcBorders>
              <w:top w:val="nil"/>
              <w:left w:val="nil"/>
              <w:bottom w:val="single" w:sz="4" w:space="0" w:color="auto"/>
              <w:right w:val="single" w:sz="4" w:space="0" w:color="auto"/>
            </w:tcBorders>
            <w:noWrap/>
            <w:vAlign w:val="center"/>
          </w:tcPr>
          <w:p w14:paraId="6594BEEB" w14:textId="77777777" w:rsidR="00055BFC" w:rsidRPr="00487076" w:rsidRDefault="00055BFC" w:rsidP="00B92127">
            <w:pPr>
              <w:spacing w:line="240" w:lineRule="auto"/>
              <w:jc w:val="center"/>
              <w:rPr>
                <w:rFonts w:eastAsia="Times New Roman"/>
                <w:color w:val="000000"/>
                <w:sz w:val="18"/>
                <w:szCs w:val="18"/>
              </w:rPr>
            </w:pPr>
            <w:r>
              <w:rPr>
                <w:sz w:val="18"/>
              </w:rPr>
              <w:t>13</w:t>
            </w:r>
          </w:p>
        </w:tc>
        <w:tc>
          <w:tcPr>
            <w:tcW w:w="966" w:type="dxa"/>
            <w:tcBorders>
              <w:top w:val="nil"/>
              <w:left w:val="nil"/>
              <w:bottom w:val="single" w:sz="4" w:space="0" w:color="auto"/>
              <w:right w:val="single" w:sz="4" w:space="0" w:color="auto"/>
            </w:tcBorders>
            <w:shd w:val="clear" w:color="auto" w:fill="F2F2F2" w:themeFill="background1" w:themeFillShade="F2"/>
            <w:noWrap/>
            <w:vAlign w:val="center"/>
          </w:tcPr>
          <w:p w14:paraId="166D2AF5" w14:textId="77777777" w:rsidR="00055BFC" w:rsidRPr="00487076" w:rsidRDefault="00055BFC" w:rsidP="00B92127">
            <w:pPr>
              <w:spacing w:line="240" w:lineRule="auto"/>
              <w:ind w:right="-93"/>
              <w:jc w:val="center"/>
              <w:rPr>
                <w:rFonts w:eastAsia="Times New Roman"/>
                <w:i/>
                <w:iCs/>
                <w:color w:val="000000"/>
                <w:sz w:val="18"/>
                <w:szCs w:val="18"/>
              </w:rPr>
            </w:pPr>
            <w:r>
              <w:rPr>
                <w:i/>
                <w:sz w:val="18"/>
              </w:rPr>
              <w:t>8</w:t>
            </w:r>
          </w:p>
        </w:tc>
        <w:tc>
          <w:tcPr>
            <w:tcW w:w="906" w:type="dxa"/>
            <w:tcBorders>
              <w:top w:val="nil"/>
              <w:left w:val="nil"/>
              <w:bottom w:val="single" w:sz="4" w:space="0" w:color="auto"/>
              <w:right w:val="single" w:sz="4" w:space="0" w:color="auto"/>
            </w:tcBorders>
            <w:shd w:val="clear" w:color="auto" w:fill="auto"/>
            <w:vAlign w:val="center"/>
          </w:tcPr>
          <w:p w14:paraId="7515B23F" w14:textId="77777777" w:rsidR="00055BFC" w:rsidRPr="00487076" w:rsidRDefault="00055BFC" w:rsidP="00B92127">
            <w:pPr>
              <w:spacing w:line="240" w:lineRule="auto"/>
              <w:jc w:val="center"/>
              <w:rPr>
                <w:sz w:val="18"/>
                <w:szCs w:val="18"/>
              </w:rPr>
            </w:pPr>
            <w:r>
              <w:rPr>
                <w:sz w:val="18"/>
              </w:rPr>
              <w:t>9</w:t>
            </w:r>
          </w:p>
        </w:tc>
        <w:tc>
          <w:tcPr>
            <w:tcW w:w="989" w:type="dxa"/>
            <w:tcBorders>
              <w:top w:val="nil"/>
              <w:left w:val="nil"/>
              <w:bottom w:val="single" w:sz="4" w:space="0" w:color="auto"/>
              <w:right w:val="single" w:sz="4" w:space="0" w:color="auto"/>
            </w:tcBorders>
            <w:shd w:val="clear" w:color="auto" w:fill="F2F2F2" w:themeFill="background1" w:themeFillShade="F2"/>
            <w:vAlign w:val="center"/>
          </w:tcPr>
          <w:p w14:paraId="5C641265" w14:textId="77777777" w:rsidR="00055BFC" w:rsidRPr="00487076" w:rsidRDefault="00055BFC" w:rsidP="00B92127">
            <w:pPr>
              <w:spacing w:line="240" w:lineRule="auto"/>
              <w:jc w:val="center"/>
              <w:rPr>
                <w:i/>
                <w:iCs/>
                <w:sz w:val="18"/>
                <w:szCs w:val="18"/>
              </w:rPr>
            </w:pPr>
            <w:r>
              <w:rPr>
                <w:i/>
                <w:sz w:val="18"/>
              </w:rPr>
              <w:t>5</w:t>
            </w:r>
          </w:p>
        </w:tc>
        <w:tc>
          <w:tcPr>
            <w:tcW w:w="883" w:type="dxa"/>
            <w:tcBorders>
              <w:top w:val="nil"/>
              <w:left w:val="nil"/>
              <w:bottom w:val="single" w:sz="4" w:space="0" w:color="auto"/>
              <w:right w:val="single" w:sz="4" w:space="0" w:color="auto"/>
            </w:tcBorders>
            <w:shd w:val="clear" w:color="auto" w:fill="F2F2F2" w:themeFill="background1" w:themeFillShade="F2"/>
            <w:vAlign w:val="center"/>
          </w:tcPr>
          <w:p w14:paraId="0622A21C" w14:textId="77777777" w:rsidR="00055BFC" w:rsidRPr="00487076" w:rsidRDefault="00055BFC" w:rsidP="00B92127">
            <w:pPr>
              <w:spacing w:line="240" w:lineRule="auto"/>
              <w:jc w:val="center"/>
              <w:rPr>
                <w:sz w:val="18"/>
                <w:szCs w:val="18"/>
              </w:rPr>
            </w:pPr>
            <w:r>
              <w:rPr>
                <w:sz w:val="18"/>
              </w:rPr>
              <w:t>9</w:t>
            </w:r>
          </w:p>
        </w:tc>
        <w:tc>
          <w:tcPr>
            <w:tcW w:w="1008" w:type="dxa"/>
            <w:tcBorders>
              <w:top w:val="nil"/>
              <w:left w:val="nil"/>
              <w:bottom w:val="single" w:sz="4" w:space="0" w:color="auto"/>
              <w:right w:val="single" w:sz="4" w:space="0" w:color="auto"/>
            </w:tcBorders>
            <w:shd w:val="clear" w:color="auto" w:fill="F2F2F2" w:themeFill="background1" w:themeFillShade="F2"/>
            <w:vAlign w:val="center"/>
          </w:tcPr>
          <w:p w14:paraId="79B1B17C" w14:textId="77777777" w:rsidR="00055BFC" w:rsidRPr="00487076" w:rsidRDefault="00055BFC" w:rsidP="00B92127">
            <w:pPr>
              <w:spacing w:line="240" w:lineRule="auto"/>
              <w:jc w:val="center"/>
              <w:rPr>
                <w:i/>
                <w:iCs/>
                <w:sz w:val="18"/>
                <w:szCs w:val="18"/>
              </w:rPr>
            </w:pPr>
            <w:r>
              <w:rPr>
                <w:i/>
                <w:sz w:val="18"/>
              </w:rPr>
              <w:t>7</w:t>
            </w:r>
          </w:p>
        </w:tc>
      </w:tr>
      <w:tr w:rsidR="00055BFC" w:rsidRPr="00487076" w14:paraId="136465C0" w14:textId="77777777" w:rsidTr="00B92127">
        <w:trPr>
          <w:trHeight w:val="288"/>
          <w:jc w:val="right"/>
        </w:trPr>
        <w:tc>
          <w:tcPr>
            <w:tcW w:w="1964" w:type="dxa"/>
            <w:tcBorders>
              <w:top w:val="nil"/>
              <w:left w:val="single" w:sz="4" w:space="0" w:color="auto"/>
              <w:bottom w:val="single" w:sz="4" w:space="0" w:color="auto"/>
              <w:right w:val="single" w:sz="4" w:space="0" w:color="auto"/>
            </w:tcBorders>
            <w:shd w:val="clear" w:color="auto" w:fill="auto"/>
            <w:noWrap/>
            <w:vAlign w:val="center"/>
          </w:tcPr>
          <w:p w14:paraId="6DBF66F2" w14:textId="77777777" w:rsidR="00055BFC" w:rsidRPr="00487076" w:rsidRDefault="00055BFC" w:rsidP="00B92127">
            <w:pPr>
              <w:spacing w:line="240" w:lineRule="auto"/>
              <w:ind w:right="-123"/>
              <w:rPr>
                <w:rFonts w:eastAsia="Times New Roman"/>
                <w:b/>
                <w:bCs/>
                <w:sz w:val="18"/>
                <w:szCs w:val="18"/>
              </w:rPr>
            </w:pPr>
            <w:r>
              <w:rPr>
                <w:sz w:val="18"/>
              </w:rPr>
              <w:t>Западная и Центральная Африка</w:t>
            </w:r>
          </w:p>
        </w:tc>
        <w:tc>
          <w:tcPr>
            <w:tcW w:w="863" w:type="dxa"/>
            <w:tcBorders>
              <w:top w:val="nil"/>
              <w:left w:val="nil"/>
              <w:bottom w:val="single" w:sz="4" w:space="0" w:color="auto"/>
              <w:right w:val="single" w:sz="4" w:space="0" w:color="auto"/>
            </w:tcBorders>
            <w:shd w:val="clear" w:color="auto" w:fill="auto"/>
            <w:noWrap/>
            <w:vAlign w:val="center"/>
          </w:tcPr>
          <w:p w14:paraId="62DD5363" w14:textId="77777777" w:rsidR="00055BFC" w:rsidRPr="00487076" w:rsidRDefault="00055BFC" w:rsidP="00B92127">
            <w:pPr>
              <w:spacing w:line="240" w:lineRule="auto"/>
              <w:ind w:left="-110" w:right="-133"/>
              <w:jc w:val="center"/>
              <w:rPr>
                <w:rFonts w:eastAsia="Times New Roman"/>
                <w:b/>
                <w:bCs/>
                <w:sz w:val="18"/>
                <w:szCs w:val="18"/>
              </w:rPr>
            </w:pPr>
            <w:r>
              <w:rPr>
                <w:sz w:val="18"/>
              </w:rPr>
              <w:t>23</w:t>
            </w:r>
          </w:p>
        </w:tc>
        <w:tc>
          <w:tcPr>
            <w:tcW w:w="1137" w:type="dxa"/>
            <w:tcBorders>
              <w:top w:val="nil"/>
              <w:left w:val="nil"/>
              <w:bottom w:val="single" w:sz="4" w:space="0" w:color="auto"/>
              <w:right w:val="single" w:sz="4" w:space="0" w:color="auto"/>
            </w:tcBorders>
            <w:shd w:val="clear" w:color="auto" w:fill="F2F2F2" w:themeFill="background1" w:themeFillShade="F2"/>
            <w:noWrap/>
            <w:vAlign w:val="center"/>
          </w:tcPr>
          <w:p w14:paraId="5FD4F85F" w14:textId="77777777" w:rsidR="00055BFC" w:rsidRPr="00487076" w:rsidRDefault="00055BFC" w:rsidP="00B92127">
            <w:pPr>
              <w:spacing w:line="240" w:lineRule="auto"/>
              <w:ind w:right="-173"/>
              <w:jc w:val="center"/>
              <w:rPr>
                <w:rFonts w:eastAsia="Times New Roman"/>
                <w:b/>
                <w:bCs/>
                <w:i/>
                <w:iCs/>
                <w:sz w:val="18"/>
                <w:szCs w:val="18"/>
              </w:rPr>
            </w:pPr>
            <w:r>
              <w:rPr>
                <w:i/>
                <w:sz w:val="18"/>
              </w:rPr>
              <w:t>20</w:t>
            </w:r>
          </w:p>
        </w:tc>
        <w:tc>
          <w:tcPr>
            <w:tcW w:w="735" w:type="dxa"/>
            <w:tcBorders>
              <w:top w:val="nil"/>
              <w:left w:val="nil"/>
              <w:bottom w:val="single" w:sz="4" w:space="0" w:color="auto"/>
              <w:right w:val="single" w:sz="4" w:space="0" w:color="auto"/>
            </w:tcBorders>
            <w:noWrap/>
            <w:vAlign w:val="center"/>
          </w:tcPr>
          <w:p w14:paraId="08493493" w14:textId="77777777" w:rsidR="00055BFC" w:rsidRPr="00487076" w:rsidRDefault="00055BFC" w:rsidP="00B92127">
            <w:pPr>
              <w:spacing w:line="240" w:lineRule="auto"/>
              <w:jc w:val="center"/>
              <w:rPr>
                <w:rFonts w:eastAsia="Times New Roman"/>
                <w:b/>
                <w:bCs/>
                <w:sz w:val="18"/>
                <w:szCs w:val="18"/>
              </w:rPr>
            </w:pPr>
            <w:r>
              <w:rPr>
                <w:sz w:val="18"/>
              </w:rPr>
              <w:t>30</w:t>
            </w:r>
          </w:p>
        </w:tc>
        <w:tc>
          <w:tcPr>
            <w:tcW w:w="966" w:type="dxa"/>
            <w:tcBorders>
              <w:top w:val="nil"/>
              <w:left w:val="nil"/>
              <w:bottom w:val="single" w:sz="4" w:space="0" w:color="auto"/>
              <w:right w:val="single" w:sz="4" w:space="0" w:color="auto"/>
            </w:tcBorders>
            <w:shd w:val="clear" w:color="auto" w:fill="F2F2F2" w:themeFill="background1" w:themeFillShade="F2"/>
            <w:noWrap/>
            <w:vAlign w:val="center"/>
          </w:tcPr>
          <w:p w14:paraId="7B7299A1" w14:textId="77777777" w:rsidR="00055BFC" w:rsidRPr="00487076" w:rsidRDefault="00055BFC" w:rsidP="00B92127">
            <w:pPr>
              <w:spacing w:line="240" w:lineRule="auto"/>
              <w:ind w:right="-93"/>
              <w:jc w:val="center"/>
              <w:rPr>
                <w:rFonts w:eastAsia="Times New Roman"/>
                <w:b/>
                <w:bCs/>
                <w:i/>
                <w:iCs/>
                <w:sz w:val="18"/>
                <w:szCs w:val="18"/>
              </w:rPr>
            </w:pPr>
            <w:r>
              <w:rPr>
                <w:i/>
                <w:sz w:val="18"/>
              </w:rPr>
              <w:t>18</w:t>
            </w:r>
          </w:p>
        </w:tc>
        <w:tc>
          <w:tcPr>
            <w:tcW w:w="906" w:type="dxa"/>
            <w:tcBorders>
              <w:top w:val="nil"/>
              <w:left w:val="nil"/>
              <w:bottom w:val="single" w:sz="4" w:space="0" w:color="auto"/>
              <w:right w:val="single" w:sz="4" w:space="0" w:color="auto"/>
            </w:tcBorders>
            <w:shd w:val="clear" w:color="auto" w:fill="auto"/>
            <w:vAlign w:val="center"/>
          </w:tcPr>
          <w:p w14:paraId="767CB876" w14:textId="77777777" w:rsidR="00055BFC" w:rsidRPr="00487076" w:rsidRDefault="00055BFC" w:rsidP="00B92127">
            <w:pPr>
              <w:spacing w:line="240" w:lineRule="auto"/>
              <w:jc w:val="center"/>
              <w:rPr>
                <w:sz w:val="18"/>
                <w:szCs w:val="18"/>
              </w:rPr>
            </w:pPr>
            <w:r>
              <w:rPr>
                <w:sz w:val="18"/>
              </w:rPr>
              <w:t>20</w:t>
            </w:r>
          </w:p>
        </w:tc>
        <w:tc>
          <w:tcPr>
            <w:tcW w:w="989" w:type="dxa"/>
            <w:tcBorders>
              <w:top w:val="nil"/>
              <w:left w:val="nil"/>
              <w:bottom w:val="single" w:sz="4" w:space="0" w:color="auto"/>
              <w:right w:val="single" w:sz="4" w:space="0" w:color="auto"/>
            </w:tcBorders>
            <w:shd w:val="clear" w:color="auto" w:fill="F2F2F2" w:themeFill="background1" w:themeFillShade="F2"/>
            <w:vAlign w:val="center"/>
          </w:tcPr>
          <w:p w14:paraId="29BD7430" w14:textId="77777777" w:rsidR="00055BFC" w:rsidRPr="00487076" w:rsidRDefault="00055BFC" w:rsidP="00B92127">
            <w:pPr>
              <w:spacing w:line="240" w:lineRule="auto"/>
              <w:jc w:val="center"/>
              <w:rPr>
                <w:i/>
                <w:iCs/>
                <w:sz w:val="18"/>
                <w:szCs w:val="18"/>
              </w:rPr>
            </w:pPr>
            <w:r>
              <w:rPr>
                <w:i/>
                <w:sz w:val="18"/>
              </w:rPr>
              <w:t>12</w:t>
            </w:r>
          </w:p>
        </w:tc>
        <w:tc>
          <w:tcPr>
            <w:tcW w:w="883" w:type="dxa"/>
            <w:tcBorders>
              <w:top w:val="nil"/>
              <w:left w:val="nil"/>
              <w:bottom w:val="single" w:sz="4" w:space="0" w:color="auto"/>
              <w:right w:val="single" w:sz="4" w:space="0" w:color="auto"/>
            </w:tcBorders>
            <w:shd w:val="clear" w:color="auto" w:fill="F2F2F2" w:themeFill="background1" w:themeFillShade="F2"/>
            <w:vAlign w:val="center"/>
          </w:tcPr>
          <w:p w14:paraId="641F2FE0" w14:textId="77777777" w:rsidR="00055BFC" w:rsidRPr="00487076" w:rsidRDefault="00055BFC" w:rsidP="00B92127">
            <w:pPr>
              <w:spacing w:line="240" w:lineRule="auto"/>
              <w:jc w:val="center"/>
              <w:rPr>
                <w:sz w:val="18"/>
                <w:szCs w:val="18"/>
              </w:rPr>
            </w:pPr>
            <w:r>
              <w:rPr>
                <w:sz w:val="18"/>
              </w:rPr>
              <w:t>31</w:t>
            </w:r>
          </w:p>
        </w:tc>
        <w:tc>
          <w:tcPr>
            <w:tcW w:w="1008" w:type="dxa"/>
            <w:tcBorders>
              <w:top w:val="nil"/>
              <w:left w:val="nil"/>
              <w:bottom w:val="single" w:sz="4" w:space="0" w:color="auto"/>
              <w:right w:val="single" w:sz="4" w:space="0" w:color="auto"/>
            </w:tcBorders>
            <w:shd w:val="clear" w:color="auto" w:fill="F2F2F2" w:themeFill="background1" w:themeFillShade="F2"/>
            <w:vAlign w:val="center"/>
          </w:tcPr>
          <w:p w14:paraId="1B7C876F" w14:textId="77777777" w:rsidR="00055BFC" w:rsidRPr="00487076" w:rsidRDefault="00055BFC" w:rsidP="00B92127">
            <w:pPr>
              <w:spacing w:line="240" w:lineRule="auto"/>
              <w:jc w:val="center"/>
              <w:rPr>
                <w:i/>
                <w:iCs/>
                <w:sz w:val="18"/>
                <w:szCs w:val="18"/>
              </w:rPr>
            </w:pPr>
            <w:r>
              <w:rPr>
                <w:i/>
                <w:sz w:val="18"/>
              </w:rPr>
              <w:t>23</w:t>
            </w:r>
          </w:p>
        </w:tc>
      </w:tr>
      <w:tr w:rsidR="00055BFC" w:rsidRPr="00487076" w14:paraId="3A5FAD78" w14:textId="77777777" w:rsidTr="00B92127">
        <w:trPr>
          <w:trHeight w:val="288"/>
          <w:jc w:val="right"/>
        </w:trPr>
        <w:tc>
          <w:tcPr>
            <w:tcW w:w="1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A0219D" w14:textId="77777777" w:rsidR="00055BFC" w:rsidRPr="00487076" w:rsidRDefault="00055BFC" w:rsidP="00B92127">
            <w:pPr>
              <w:spacing w:line="240" w:lineRule="auto"/>
              <w:ind w:right="-303"/>
              <w:rPr>
                <w:rFonts w:eastAsia="Times New Roman"/>
                <w:b/>
                <w:bCs/>
                <w:color w:val="000000"/>
                <w:sz w:val="18"/>
                <w:szCs w:val="18"/>
              </w:rPr>
            </w:pPr>
            <w:r>
              <w:rPr>
                <w:b/>
                <w:sz w:val="18"/>
              </w:rPr>
              <w:t>Итого</w:t>
            </w:r>
          </w:p>
        </w:tc>
        <w:tc>
          <w:tcPr>
            <w:tcW w:w="86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336339D" w14:textId="77777777" w:rsidR="00055BFC" w:rsidRPr="00487076" w:rsidRDefault="00055BFC" w:rsidP="00B92127">
            <w:pPr>
              <w:spacing w:line="240" w:lineRule="auto"/>
              <w:ind w:left="-110" w:right="-133"/>
              <w:jc w:val="center"/>
              <w:rPr>
                <w:rFonts w:eastAsia="Times New Roman"/>
                <w:b/>
                <w:bCs/>
                <w:color w:val="000000"/>
                <w:sz w:val="18"/>
                <w:szCs w:val="18"/>
              </w:rPr>
            </w:pPr>
            <w:r>
              <w:rPr>
                <w:b/>
                <w:sz w:val="18"/>
              </w:rPr>
              <w:t>118</w:t>
            </w:r>
          </w:p>
        </w:tc>
        <w:tc>
          <w:tcPr>
            <w:tcW w:w="113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166F4FC" w14:textId="77777777" w:rsidR="00055BFC" w:rsidRPr="00487076" w:rsidRDefault="00055BFC" w:rsidP="00B92127">
            <w:pPr>
              <w:spacing w:line="240" w:lineRule="auto"/>
              <w:ind w:right="-173"/>
              <w:jc w:val="center"/>
              <w:rPr>
                <w:rFonts w:eastAsia="Times New Roman"/>
                <w:b/>
                <w:bCs/>
                <w:i/>
                <w:iCs/>
                <w:color w:val="000000"/>
                <w:sz w:val="18"/>
                <w:szCs w:val="18"/>
              </w:rPr>
            </w:pPr>
            <w:r>
              <w:rPr>
                <w:b/>
                <w:i/>
                <w:sz w:val="18"/>
              </w:rPr>
              <w:t>100</w:t>
            </w:r>
          </w:p>
        </w:tc>
        <w:tc>
          <w:tcPr>
            <w:tcW w:w="73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5D1576A" w14:textId="77777777" w:rsidR="00055BFC" w:rsidRPr="00487076" w:rsidRDefault="00055BFC" w:rsidP="00B92127">
            <w:pPr>
              <w:spacing w:line="240" w:lineRule="auto"/>
              <w:jc w:val="center"/>
              <w:rPr>
                <w:rFonts w:eastAsia="Times New Roman"/>
                <w:b/>
                <w:bCs/>
                <w:color w:val="000000"/>
                <w:sz w:val="18"/>
                <w:szCs w:val="18"/>
              </w:rPr>
            </w:pPr>
            <w:r>
              <w:rPr>
                <w:b/>
                <w:sz w:val="18"/>
              </w:rPr>
              <w:t>166</w:t>
            </w:r>
          </w:p>
        </w:tc>
        <w:tc>
          <w:tcPr>
            <w:tcW w:w="96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B135E9E" w14:textId="77777777" w:rsidR="00055BFC" w:rsidRPr="00487076" w:rsidRDefault="00055BFC" w:rsidP="00B92127">
            <w:pPr>
              <w:spacing w:line="240" w:lineRule="auto"/>
              <w:ind w:right="-93"/>
              <w:jc w:val="center"/>
              <w:rPr>
                <w:rFonts w:eastAsia="Times New Roman"/>
                <w:b/>
                <w:bCs/>
                <w:i/>
                <w:iCs/>
                <w:color w:val="000000"/>
                <w:sz w:val="18"/>
                <w:szCs w:val="18"/>
              </w:rPr>
            </w:pPr>
            <w:r>
              <w:rPr>
                <w:b/>
                <w:i/>
                <w:sz w:val="18"/>
              </w:rPr>
              <w:t>100</w:t>
            </w:r>
          </w:p>
        </w:tc>
        <w:tc>
          <w:tcPr>
            <w:tcW w:w="90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1219677" w14:textId="77777777" w:rsidR="00055BFC" w:rsidRPr="00487076" w:rsidRDefault="00055BFC" w:rsidP="00B92127">
            <w:pPr>
              <w:spacing w:line="240" w:lineRule="auto"/>
              <w:jc w:val="center"/>
              <w:rPr>
                <w:b/>
                <w:bCs/>
                <w:sz w:val="18"/>
                <w:szCs w:val="18"/>
              </w:rPr>
            </w:pPr>
            <w:r>
              <w:rPr>
                <w:b/>
                <w:sz w:val="18"/>
              </w:rPr>
              <w:t>167</w:t>
            </w:r>
          </w:p>
        </w:tc>
        <w:tc>
          <w:tcPr>
            <w:tcW w:w="98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095F627" w14:textId="77777777" w:rsidR="00055BFC" w:rsidRPr="00487076" w:rsidRDefault="00055BFC" w:rsidP="00B92127">
            <w:pPr>
              <w:spacing w:line="240" w:lineRule="auto"/>
              <w:jc w:val="center"/>
              <w:rPr>
                <w:b/>
                <w:bCs/>
                <w:i/>
                <w:iCs/>
                <w:sz w:val="18"/>
                <w:szCs w:val="18"/>
              </w:rPr>
            </w:pPr>
            <w:r>
              <w:rPr>
                <w:b/>
                <w:i/>
                <w:sz w:val="18"/>
              </w:rPr>
              <w:t>100</w:t>
            </w:r>
          </w:p>
        </w:tc>
        <w:tc>
          <w:tcPr>
            <w:tcW w:w="88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410DC03" w14:textId="77777777" w:rsidR="00055BFC" w:rsidRPr="00487076" w:rsidRDefault="00055BFC" w:rsidP="00B92127">
            <w:pPr>
              <w:spacing w:line="240" w:lineRule="auto"/>
              <w:jc w:val="center"/>
              <w:rPr>
                <w:b/>
                <w:bCs/>
                <w:sz w:val="18"/>
                <w:szCs w:val="18"/>
              </w:rPr>
            </w:pPr>
            <w:r>
              <w:rPr>
                <w:b/>
                <w:sz w:val="18"/>
              </w:rPr>
              <w:t>134</w:t>
            </w:r>
          </w:p>
        </w:tc>
        <w:tc>
          <w:tcPr>
            <w:tcW w:w="100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5D513A6" w14:textId="77777777" w:rsidR="00055BFC" w:rsidRPr="00487076" w:rsidRDefault="00055BFC" w:rsidP="00B92127">
            <w:pPr>
              <w:spacing w:line="240" w:lineRule="auto"/>
              <w:jc w:val="center"/>
              <w:rPr>
                <w:b/>
                <w:bCs/>
                <w:i/>
                <w:iCs/>
                <w:sz w:val="18"/>
                <w:szCs w:val="18"/>
              </w:rPr>
            </w:pPr>
            <w:r>
              <w:rPr>
                <w:b/>
                <w:i/>
                <w:sz w:val="18"/>
              </w:rPr>
              <w:t>100</w:t>
            </w:r>
          </w:p>
        </w:tc>
      </w:tr>
      <w:tr w:rsidR="00055BFC" w:rsidRPr="00487076" w14:paraId="14BAFF02" w14:textId="77777777" w:rsidTr="00B92127">
        <w:trPr>
          <w:trHeight w:val="288"/>
          <w:jc w:val="right"/>
        </w:trPr>
        <w:tc>
          <w:tcPr>
            <w:tcW w:w="9451" w:type="dxa"/>
            <w:gridSpan w:val="9"/>
            <w:tcBorders>
              <w:top w:val="single" w:sz="4" w:space="0" w:color="auto"/>
            </w:tcBorders>
            <w:shd w:val="clear" w:color="auto" w:fill="F2F2F2" w:themeFill="background1" w:themeFillShade="F2"/>
            <w:noWrap/>
            <w:vAlign w:val="center"/>
          </w:tcPr>
          <w:p w14:paraId="038EB4CE" w14:textId="77777777" w:rsidR="00055BFC" w:rsidRPr="00487076" w:rsidRDefault="00055BFC" w:rsidP="00B92127">
            <w:pPr>
              <w:spacing w:line="240" w:lineRule="auto"/>
              <w:ind w:left="429" w:right="-283"/>
              <w:jc w:val="center"/>
              <w:rPr>
                <w:b/>
                <w:bCs/>
                <w:i/>
                <w:iCs/>
                <w:sz w:val="18"/>
                <w:szCs w:val="18"/>
              </w:rPr>
            </w:pPr>
          </w:p>
        </w:tc>
      </w:tr>
    </w:tbl>
    <w:bookmarkEnd w:id="57"/>
    <w:p w14:paraId="64D59DBB" w14:textId="77777777" w:rsidR="00055BFC" w:rsidRPr="00487076" w:rsidRDefault="00055BFC" w:rsidP="00055BFC">
      <w:pPr>
        <w:pStyle w:val="Subheading"/>
        <w:numPr>
          <w:ilvl w:val="0"/>
          <w:numId w:val="0"/>
        </w:numPr>
        <w:ind w:left="1260" w:hanging="551"/>
      </w:pPr>
      <w:r w:rsidRPr="00487076">
        <w:t>d.</w:t>
      </w:r>
      <w:r w:rsidRPr="00487076">
        <w:tab/>
      </w:r>
      <w:r>
        <w:t>Общее количество дел и закрытие дел в 2024 году</w:t>
      </w:r>
    </w:p>
    <w:p w14:paraId="7210FD00" w14:textId="77777777" w:rsidR="00055BFC" w:rsidRPr="00487076" w:rsidRDefault="00055BFC" w:rsidP="00055BFC">
      <w:pPr>
        <w:pStyle w:val="Para1"/>
        <w:numPr>
          <w:ilvl w:val="0"/>
          <w:numId w:val="0"/>
        </w:numPr>
        <w:ind w:left="720" w:hanging="11"/>
      </w:pPr>
      <w:r w:rsidRPr="00487076">
        <w:t>80.</w:t>
      </w:r>
      <w:r w:rsidRPr="00487076">
        <w:tab/>
      </w:r>
      <w:r>
        <w:t>В 2024 году в УАР было рассмотрено в общей сложности 448 дел (314 дел, перенесенных с 2023 года и предыдущих лет, и 134 новых дела), что на 6 процентов меньше по сравнению с 2023 годом (474 дела); на 11 процентов больше по сравнению с 2022 годом (404 дела); и на 32 процента больше по сравнению с 2021 годом (339 дел). Сто шестьдесят пять (165) из 448 дел были закрыты к концу 2024 года (см. таблицу 7 и рисунки 7 и 8 ниже).</w:t>
      </w:r>
    </w:p>
    <w:p w14:paraId="10C6E2B0" w14:textId="77777777" w:rsidR="00055BFC" w:rsidRPr="00487076" w:rsidRDefault="00055BFC" w:rsidP="00055BFC">
      <w:pPr>
        <w:pStyle w:val="Para1"/>
        <w:numPr>
          <w:ilvl w:val="0"/>
          <w:numId w:val="0"/>
        </w:numPr>
        <w:ind w:left="720" w:hanging="11"/>
      </w:pPr>
      <w:r w:rsidRPr="00487076">
        <w:t>81.</w:t>
      </w:r>
      <w:r w:rsidRPr="00487076">
        <w:tab/>
      </w:r>
      <w:r>
        <w:t>Из 165 дел, закрытых на конец 2024 года, 133 (81 процент) составляли нерассмотренные дела (считаются делами, поступившими в УАР до 2024 года). Из этих 133 дел одно (менее 1 процента от общего числа закрытых дел) было зарегистрировано в 2017 году; девять (5 процентов) — в 2018 году; 21 (13 процентов) — в 2019 году; 14 (9 процентов) — в 2020 году; 15 (9 процентов) — в 2021 году; 26 (16 процентов) — в 2022 году; и 47 (28 процентов) — в 2023 году. Тридцать два (19 процентов) из 165 дел, закрытых в 2024 году, были получены в том же году (2024 год). Увеличение количества дел, закрытых в 2023 и 2024 гг., отражает усилия УАР и его стратегию по рассмотрению поступающих высокоприоритетных дел, направленную на предотвращение отставаний в будущем, и рассмотрению открытых дел, перенесенных с предыдущих лет.</w:t>
      </w:r>
    </w:p>
    <w:p w14:paraId="38F32CD1" w14:textId="77777777" w:rsidR="00055BFC" w:rsidRPr="00487076" w:rsidRDefault="00055BFC" w:rsidP="00055BFC">
      <w:pPr>
        <w:pStyle w:val="Figure"/>
        <w:spacing w:before="240"/>
        <w:ind w:left="1281" w:right="578"/>
      </w:pPr>
      <w:r>
        <w:t>Таблица 7. Распределение дел, рассмотренных в 2024 году</w:t>
      </w:r>
    </w:p>
    <w:tbl>
      <w:tblPr>
        <w:tblW w:w="5511" w:type="dxa"/>
        <w:tblInd w:w="2547" w:type="dxa"/>
        <w:tblLook w:val="04A0" w:firstRow="1" w:lastRow="0" w:firstColumn="1" w:lastColumn="0" w:noHBand="0" w:noVBand="1"/>
      </w:tblPr>
      <w:tblGrid>
        <w:gridCol w:w="3600"/>
        <w:gridCol w:w="1911"/>
      </w:tblGrid>
      <w:tr w:rsidR="00055BFC" w:rsidRPr="00487076" w14:paraId="3A636D0D" w14:textId="77777777" w:rsidTr="00B92127">
        <w:trPr>
          <w:trHeight w:val="288"/>
          <w:tblHeader/>
        </w:trPr>
        <w:tc>
          <w:tcPr>
            <w:tcW w:w="360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640B0E36" w14:textId="77777777" w:rsidR="00055BFC" w:rsidRPr="00487076" w:rsidRDefault="00055BFC" w:rsidP="00B92127">
            <w:pPr>
              <w:keepNext/>
              <w:jc w:val="center"/>
              <w:rPr>
                <w:rFonts w:eastAsia="Times New Roman"/>
                <w:b/>
                <w:bCs/>
                <w:color w:val="000000"/>
                <w:sz w:val="18"/>
                <w:szCs w:val="18"/>
              </w:rPr>
            </w:pPr>
            <w:r>
              <w:rPr>
                <w:b/>
                <w:sz w:val="18"/>
              </w:rPr>
              <w:t>Статус дел</w:t>
            </w:r>
          </w:p>
        </w:tc>
        <w:tc>
          <w:tcPr>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D27FA" w14:textId="77777777" w:rsidR="00055BFC" w:rsidRPr="00487076" w:rsidRDefault="00055BFC" w:rsidP="00B92127">
            <w:pPr>
              <w:keepNext/>
              <w:jc w:val="center"/>
              <w:rPr>
                <w:rFonts w:eastAsia="Times New Roman"/>
                <w:b/>
                <w:bCs/>
                <w:color w:val="000000"/>
                <w:sz w:val="18"/>
                <w:szCs w:val="18"/>
              </w:rPr>
            </w:pPr>
            <w:r>
              <w:rPr>
                <w:b/>
                <w:sz w:val="18"/>
              </w:rPr>
              <w:t>Число дел</w:t>
            </w:r>
          </w:p>
        </w:tc>
      </w:tr>
      <w:tr w:rsidR="00055BFC" w:rsidRPr="00487076" w14:paraId="07E4965D" w14:textId="77777777" w:rsidTr="00B92127">
        <w:trPr>
          <w:trHeight w:val="288"/>
        </w:trPr>
        <w:tc>
          <w:tcPr>
            <w:tcW w:w="3600" w:type="dxa"/>
            <w:tcBorders>
              <w:top w:val="nil"/>
              <w:left w:val="single" w:sz="4" w:space="0" w:color="auto"/>
              <w:bottom w:val="single" w:sz="4" w:space="0" w:color="auto"/>
              <w:right w:val="single" w:sz="4" w:space="0" w:color="auto"/>
            </w:tcBorders>
            <w:shd w:val="clear" w:color="auto" w:fill="auto"/>
            <w:noWrap/>
            <w:vAlign w:val="center"/>
          </w:tcPr>
          <w:p w14:paraId="135B4D4A" w14:textId="77777777" w:rsidR="00055BFC" w:rsidRPr="00487076" w:rsidRDefault="00055BFC" w:rsidP="00B92127">
            <w:pPr>
              <w:keepNext/>
              <w:jc w:val="center"/>
              <w:rPr>
                <w:rFonts w:eastAsia="Times New Roman"/>
                <w:color w:val="000000"/>
                <w:sz w:val="18"/>
                <w:szCs w:val="18"/>
              </w:rPr>
            </w:pPr>
            <w:r>
              <w:rPr>
                <w:sz w:val="18"/>
              </w:rPr>
              <w:t>Перенесено на 1 января 2024 года</w:t>
            </w:r>
          </w:p>
        </w:tc>
        <w:tc>
          <w:tcPr>
            <w:tcW w:w="1911" w:type="dxa"/>
            <w:tcBorders>
              <w:top w:val="single" w:sz="4" w:space="0" w:color="auto"/>
              <w:left w:val="nil"/>
              <w:bottom w:val="single" w:sz="4" w:space="0" w:color="auto"/>
              <w:right w:val="single" w:sz="4" w:space="0" w:color="auto"/>
            </w:tcBorders>
            <w:shd w:val="clear" w:color="auto" w:fill="auto"/>
            <w:noWrap/>
            <w:vAlign w:val="center"/>
          </w:tcPr>
          <w:p w14:paraId="30B0C0E3" w14:textId="77777777" w:rsidR="00055BFC" w:rsidRPr="00487076" w:rsidRDefault="00055BFC" w:rsidP="00B92127">
            <w:pPr>
              <w:keepNext/>
              <w:jc w:val="center"/>
              <w:rPr>
                <w:rFonts w:eastAsia="Times New Roman"/>
                <w:color w:val="000000"/>
                <w:sz w:val="18"/>
                <w:szCs w:val="18"/>
              </w:rPr>
            </w:pPr>
            <w:r>
              <w:rPr>
                <w:sz w:val="18"/>
              </w:rPr>
              <w:t>314</w:t>
            </w:r>
          </w:p>
        </w:tc>
      </w:tr>
      <w:tr w:rsidR="00055BFC" w:rsidRPr="00487076" w14:paraId="5E020DA1" w14:textId="77777777" w:rsidTr="00B92127">
        <w:trPr>
          <w:trHeight w:val="288"/>
        </w:trPr>
        <w:tc>
          <w:tcPr>
            <w:tcW w:w="3600" w:type="dxa"/>
            <w:tcBorders>
              <w:top w:val="nil"/>
              <w:left w:val="single" w:sz="4" w:space="0" w:color="auto"/>
              <w:bottom w:val="single" w:sz="4" w:space="0" w:color="auto"/>
              <w:right w:val="single" w:sz="4" w:space="0" w:color="auto"/>
            </w:tcBorders>
            <w:shd w:val="clear" w:color="auto" w:fill="auto"/>
            <w:noWrap/>
            <w:vAlign w:val="center"/>
          </w:tcPr>
          <w:p w14:paraId="676935B7" w14:textId="77777777" w:rsidR="00055BFC" w:rsidRPr="00487076" w:rsidRDefault="00055BFC" w:rsidP="00B92127">
            <w:pPr>
              <w:keepNext/>
              <w:jc w:val="center"/>
              <w:rPr>
                <w:rFonts w:eastAsia="Times New Roman"/>
                <w:sz w:val="18"/>
                <w:szCs w:val="18"/>
              </w:rPr>
            </w:pPr>
            <w:r>
              <w:rPr>
                <w:sz w:val="18"/>
              </w:rPr>
              <w:t>Открыто дел за год</w:t>
            </w:r>
          </w:p>
        </w:tc>
        <w:tc>
          <w:tcPr>
            <w:tcW w:w="1911" w:type="dxa"/>
            <w:tcBorders>
              <w:top w:val="nil"/>
              <w:left w:val="nil"/>
              <w:bottom w:val="single" w:sz="4" w:space="0" w:color="auto"/>
              <w:right w:val="single" w:sz="4" w:space="0" w:color="auto"/>
            </w:tcBorders>
            <w:shd w:val="clear" w:color="auto" w:fill="auto"/>
            <w:noWrap/>
            <w:vAlign w:val="center"/>
          </w:tcPr>
          <w:p w14:paraId="4A3E95B5" w14:textId="77777777" w:rsidR="00055BFC" w:rsidRPr="00487076" w:rsidRDefault="00055BFC" w:rsidP="00B92127">
            <w:pPr>
              <w:keepNext/>
              <w:jc w:val="center"/>
              <w:rPr>
                <w:rFonts w:eastAsia="Times New Roman"/>
                <w:sz w:val="18"/>
                <w:szCs w:val="18"/>
              </w:rPr>
            </w:pPr>
            <w:r>
              <w:rPr>
                <w:sz w:val="18"/>
              </w:rPr>
              <w:t>134</w:t>
            </w:r>
          </w:p>
        </w:tc>
      </w:tr>
      <w:tr w:rsidR="00055BFC" w:rsidRPr="00487076" w14:paraId="21B44D7E" w14:textId="77777777" w:rsidTr="00B92127">
        <w:trPr>
          <w:trHeight w:val="288"/>
        </w:trPr>
        <w:tc>
          <w:tcPr>
            <w:tcW w:w="3600" w:type="dxa"/>
            <w:tcBorders>
              <w:top w:val="nil"/>
              <w:left w:val="single" w:sz="4" w:space="0" w:color="auto"/>
              <w:bottom w:val="single" w:sz="4" w:space="0" w:color="auto"/>
              <w:right w:val="single" w:sz="4" w:space="0" w:color="auto"/>
            </w:tcBorders>
            <w:shd w:val="clear" w:color="auto" w:fill="auto"/>
            <w:noWrap/>
            <w:vAlign w:val="center"/>
          </w:tcPr>
          <w:p w14:paraId="0FD1C144" w14:textId="77777777" w:rsidR="00055BFC" w:rsidRPr="00487076" w:rsidRDefault="00055BFC" w:rsidP="00B92127">
            <w:pPr>
              <w:keepNext/>
              <w:jc w:val="center"/>
              <w:rPr>
                <w:rFonts w:eastAsia="Times New Roman"/>
                <w:sz w:val="18"/>
                <w:szCs w:val="18"/>
              </w:rPr>
            </w:pPr>
            <w:r>
              <w:rPr>
                <w:sz w:val="18"/>
              </w:rPr>
              <w:t>Повторно открыто с прошлого года</w:t>
            </w:r>
          </w:p>
        </w:tc>
        <w:tc>
          <w:tcPr>
            <w:tcW w:w="1911" w:type="dxa"/>
            <w:tcBorders>
              <w:top w:val="nil"/>
              <w:left w:val="nil"/>
              <w:bottom w:val="single" w:sz="4" w:space="0" w:color="auto"/>
              <w:right w:val="single" w:sz="4" w:space="0" w:color="auto"/>
            </w:tcBorders>
            <w:shd w:val="clear" w:color="auto" w:fill="auto"/>
            <w:noWrap/>
            <w:vAlign w:val="center"/>
          </w:tcPr>
          <w:p w14:paraId="7CF01721" w14:textId="77777777" w:rsidR="00055BFC" w:rsidRPr="00487076" w:rsidRDefault="00055BFC" w:rsidP="00B92127">
            <w:pPr>
              <w:keepNext/>
              <w:jc w:val="center"/>
              <w:rPr>
                <w:rFonts w:eastAsia="Times New Roman"/>
                <w:sz w:val="18"/>
                <w:szCs w:val="18"/>
              </w:rPr>
            </w:pPr>
            <w:r>
              <w:rPr>
                <w:sz w:val="18"/>
              </w:rPr>
              <w:t>0</w:t>
            </w:r>
          </w:p>
        </w:tc>
      </w:tr>
      <w:tr w:rsidR="00055BFC" w:rsidRPr="00487076" w14:paraId="41DBB042" w14:textId="77777777" w:rsidTr="00B92127">
        <w:trPr>
          <w:trHeight w:val="288"/>
        </w:trPr>
        <w:tc>
          <w:tcPr>
            <w:tcW w:w="360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D0DA208" w14:textId="77777777" w:rsidR="00055BFC" w:rsidRPr="00487076" w:rsidRDefault="00055BFC" w:rsidP="00B92127">
            <w:pPr>
              <w:keepNext/>
              <w:jc w:val="center"/>
              <w:rPr>
                <w:rFonts w:eastAsia="Times New Roman"/>
                <w:b/>
                <w:bCs/>
                <w:sz w:val="18"/>
                <w:szCs w:val="18"/>
              </w:rPr>
            </w:pPr>
            <w:r>
              <w:rPr>
                <w:b/>
                <w:sz w:val="18"/>
              </w:rPr>
              <w:t>Всего дел за год</w:t>
            </w:r>
          </w:p>
        </w:tc>
        <w:tc>
          <w:tcPr>
            <w:tcW w:w="1911" w:type="dxa"/>
            <w:tcBorders>
              <w:top w:val="nil"/>
              <w:left w:val="nil"/>
              <w:bottom w:val="single" w:sz="4" w:space="0" w:color="auto"/>
              <w:right w:val="single" w:sz="4" w:space="0" w:color="auto"/>
            </w:tcBorders>
            <w:shd w:val="clear" w:color="auto" w:fill="F2F2F2" w:themeFill="background1" w:themeFillShade="F2"/>
            <w:noWrap/>
            <w:vAlign w:val="center"/>
          </w:tcPr>
          <w:p w14:paraId="2F0DDCC8" w14:textId="77777777" w:rsidR="00055BFC" w:rsidRPr="00487076" w:rsidRDefault="00055BFC" w:rsidP="00B92127">
            <w:pPr>
              <w:keepNext/>
              <w:jc w:val="center"/>
              <w:rPr>
                <w:rFonts w:eastAsia="Times New Roman"/>
                <w:b/>
                <w:bCs/>
                <w:sz w:val="18"/>
                <w:szCs w:val="18"/>
              </w:rPr>
            </w:pPr>
            <w:r>
              <w:rPr>
                <w:b/>
                <w:sz w:val="18"/>
              </w:rPr>
              <w:t>448</w:t>
            </w:r>
          </w:p>
        </w:tc>
      </w:tr>
      <w:tr w:rsidR="00055BFC" w:rsidRPr="00487076" w14:paraId="5054A58E" w14:textId="77777777" w:rsidTr="00B92127">
        <w:trPr>
          <w:trHeight w:val="288"/>
        </w:trPr>
        <w:tc>
          <w:tcPr>
            <w:tcW w:w="3600" w:type="dxa"/>
            <w:tcBorders>
              <w:top w:val="nil"/>
              <w:left w:val="single" w:sz="4" w:space="0" w:color="auto"/>
              <w:bottom w:val="single" w:sz="4" w:space="0" w:color="auto"/>
              <w:right w:val="single" w:sz="4" w:space="0" w:color="auto"/>
            </w:tcBorders>
            <w:shd w:val="clear" w:color="auto" w:fill="auto"/>
            <w:noWrap/>
            <w:vAlign w:val="center"/>
          </w:tcPr>
          <w:p w14:paraId="2405B862" w14:textId="77777777" w:rsidR="00055BFC" w:rsidRPr="00487076" w:rsidRDefault="00055BFC" w:rsidP="00B92127">
            <w:pPr>
              <w:keepNext/>
              <w:jc w:val="center"/>
              <w:rPr>
                <w:rFonts w:eastAsia="Times New Roman"/>
                <w:sz w:val="18"/>
                <w:szCs w:val="18"/>
              </w:rPr>
            </w:pPr>
            <w:r>
              <w:rPr>
                <w:sz w:val="18"/>
              </w:rPr>
              <w:t>Закрыто в 2024 году</w:t>
            </w:r>
          </w:p>
        </w:tc>
        <w:tc>
          <w:tcPr>
            <w:tcW w:w="1911" w:type="dxa"/>
            <w:tcBorders>
              <w:top w:val="nil"/>
              <w:left w:val="nil"/>
              <w:bottom w:val="single" w:sz="4" w:space="0" w:color="auto"/>
              <w:right w:val="single" w:sz="4" w:space="0" w:color="auto"/>
            </w:tcBorders>
            <w:shd w:val="clear" w:color="auto" w:fill="auto"/>
            <w:noWrap/>
            <w:vAlign w:val="center"/>
          </w:tcPr>
          <w:p w14:paraId="0A7F4A5E" w14:textId="77777777" w:rsidR="00055BFC" w:rsidRPr="00487076" w:rsidRDefault="00055BFC" w:rsidP="00B92127">
            <w:pPr>
              <w:keepNext/>
              <w:jc w:val="center"/>
              <w:rPr>
                <w:rFonts w:eastAsia="Times New Roman"/>
                <w:sz w:val="18"/>
                <w:szCs w:val="18"/>
              </w:rPr>
            </w:pPr>
            <w:r>
              <w:rPr>
                <w:sz w:val="18"/>
              </w:rPr>
              <w:t>165</w:t>
            </w:r>
          </w:p>
        </w:tc>
      </w:tr>
      <w:tr w:rsidR="00055BFC" w:rsidRPr="00487076" w14:paraId="77A4354C" w14:textId="77777777" w:rsidTr="00B92127">
        <w:trPr>
          <w:trHeight w:val="288"/>
        </w:trPr>
        <w:tc>
          <w:tcPr>
            <w:tcW w:w="3600" w:type="dxa"/>
            <w:tcBorders>
              <w:top w:val="nil"/>
              <w:left w:val="single" w:sz="4" w:space="0" w:color="auto"/>
              <w:bottom w:val="single" w:sz="4" w:space="0" w:color="auto"/>
              <w:right w:val="single" w:sz="4" w:space="0" w:color="auto"/>
            </w:tcBorders>
            <w:shd w:val="clear" w:color="auto" w:fill="auto"/>
            <w:noWrap/>
            <w:vAlign w:val="center"/>
          </w:tcPr>
          <w:p w14:paraId="5A601545" w14:textId="77777777" w:rsidR="00055BFC" w:rsidRPr="00487076" w:rsidRDefault="00055BFC" w:rsidP="00B92127">
            <w:pPr>
              <w:keepNext/>
              <w:jc w:val="center"/>
              <w:rPr>
                <w:sz w:val="18"/>
                <w:szCs w:val="18"/>
              </w:rPr>
            </w:pPr>
            <w:r>
              <w:rPr>
                <w:b/>
                <w:sz w:val="18"/>
              </w:rPr>
              <w:t xml:space="preserve">Общее количество дел, закрытых </w:t>
            </w:r>
            <w:r>
              <w:rPr>
                <w:b/>
                <w:sz w:val="18"/>
                <w:lang w:val="cs-CZ"/>
              </w:rPr>
              <w:br/>
            </w:r>
            <w:r>
              <w:rPr>
                <w:b/>
                <w:sz w:val="18"/>
              </w:rPr>
              <w:t>на 31</w:t>
            </w:r>
            <w:r>
              <w:rPr>
                <w:b/>
                <w:sz w:val="18"/>
                <w:lang w:val="cs-CZ"/>
              </w:rPr>
              <w:t> </w:t>
            </w:r>
            <w:r>
              <w:rPr>
                <w:b/>
                <w:sz w:val="18"/>
              </w:rPr>
              <w:t>декабря 2024 года</w:t>
            </w:r>
          </w:p>
        </w:tc>
        <w:tc>
          <w:tcPr>
            <w:tcW w:w="1911" w:type="dxa"/>
            <w:tcBorders>
              <w:top w:val="nil"/>
              <w:left w:val="nil"/>
              <w:bottom w:val="single" w:sz="4" w:space="0" w:color="auto"/>
              <w:right w:val="single" w:sz="4" w:space="0" w:color="auto"/>
            </w:tcBorders>
            <w:shd w:val="clear" w:color="auto" w:fill="auto"/>
            <w:noWrap/>
            <w:vAlign w:val="center"/>
          </w:tcPr>
          <w:p w14:paraId="331CEC5B" w14:textId="77777777" w:rsidR="00055BFC" w:rsidRPr="00487076" w:rsidRDefault="00055BFC" w:rsidP="00B92127">
            <w:pPr>
              <w:keepNext/>
              <w:jc w:val="center"/>
              <w:rPr>
                <w:sz w:val="18"/>
                <w:szCs w:val="18"/>
              </w:rPr>
            </w:pPr>
            <w:r>
              <w:rPr>
                <w:b/>
                <w:sz w:val="18"/>
              </w:rPr>
              <w:t>165</w:t>
            </w:r>
          </w:p>
        </w:tc>
      </w:tr>
      <w:tr w:rsidR="00055BFC" w:rsidRPr="00487076" w14:paraId="081EBE2E" w14:textId="77777777" w:rsidTr="00B92127">
        <w:trPr>
          <w:trHeight w:val="288"/>
        </w:trPr>
        <w:tc>
          <w:tcPr>
            <w:tcW w:w="3600" w:type="dxa"/>
            <w:tcBorders>
              <w:top w:val="single" w:sz="4" w:space="0" w:color="auto"/>
              <w:left w:val="single" w:sz="4" w:space="0" w:color="auto"/>
              <w:bottom w:val="single" w:sz="2" w:space="0" w:color="auto"/>
              <w:right w:val="single" w:sz="4" w:space="0" w:color="auto"/>
            </w:tcBorders>
            <w:shd w:val="clear" w:color="auto" w:fill="auto"/>
            <w:noWrap/>
            <w:vAlign w:val="center"/>
          </w:tcPr>
          <w:p w14:paraId="719DA76E" w14:textId="77777777" w:rsidR="00055BFC" w:rsidRPr="00487076" w:rsidRDefault="00055BFC" w:rsidP="00B92127">
            <w:pPr>
              <w:keepNext/>
              <w:jc w:val="center"/>
              <w:rPr>
                <w:b/>
                <w:bCs/>
                <w:sz w:val="18"/>
                <w:szCs w:val="18"/>
              </w:rPr>
            </w:pPr>
            <w:r>
              <w:rPr>
                <w:sz w:val="18"/>
              </w:rPr>
              <w:t xml:space="preserve">Текущие дела по состоянию </w:t>
            </w:r>
            <w:r>
              <w:rPr>
                <w:sz w:val="18"/>
                <w:lang w:val="cs-CZ"/>
              </w:rPr>
              <w:br/>
            </w:r>
            <w:r>
              <w:rPr>
                <w:sz w:val="18"/>
              </w:rPr>
              <w:t>на 31</w:t>
            </w:r>
            <w:r>
              <w:rPr>
                <w:sz w:val="18"/>
                <w:lang w:val="cs-CZ"/>
              </w:rPr>
              <w:t> </w:t>
            </w:r>
            <w:r>
              <w:rPr>
                <w:sz w:val="18"/>
              </w:rPr>
              <w:t>декабря 2024 года</w:t>
            </w:r>
          </w:p>
        </w:tc>
        <w:tc>
          <w:tcPr>
            <w:tcW w:w="1911" w:type="dxa"/>
            <w:tcBorders>
              <w:top w:val="single" w:sz="4" w:space="0" w:color="auto"/>
              <w:left w:val="nil"/>
              <w:bottom w:val="single" w:sz="2" w:space="0" w:color="auto"/>
              <w:right w:val="single" w:sz="4" w:space="0" w:color="auto"/>
            </w:tcBorders>
            <w:shd w:val="clear" w:color="auto" w:fill="auto"/>
            <w:noWrap/>
            <w:vAlign w:val="center"/>
          </w:tcPr>
          <w:p w14:paraId="482D2CDC" w14:textId="77777777" w:rsidR="00055BFC" w:rsidRPr="00487076" w:rsidRDefault="00055BFC" w:rsidP="00B92127">
            <w:pPr>
              <w:keepNext/>
              <w:jc w:val="center"/>
              <w:rPr>
                <w:b/>
                <w:bCs/>
                <w:sz w:val="18"/>
                <w:szCs w:val="18"/>
              </w:rPr>
            </w:pPr>
            <w:r>
              <w:rPr>
                <w:sz w:val="18"/>
              </w:rPr>
              <w:t>283</w:t>
            </w:r>
          </w:p>
        </w:tc>
      </w:tr>
      <w:tr w:rsidR="00055BFC" w:rsidRPr="00487076" w14:paraId="2E3408B9" w14:textId="77777777" w:rsidTr="00B92127">
        <w:trPr>
          <w:trHeight w:val="40"/>
        </w:trPr>
        <w:tc>
          <w:tcPr>
            <w:tcW w:w="5511" w:type="dxa"/>
            <w:gridSpan w:val="2"/>
            <w:tcBorders>
              <w:top w:val="single" w:sz="4" w:space="0" w:color="auto"/>
            </w:tcBorders>
            <w:shd w:val="clear" w:color="auto" w:fill="auto"/>
            <w:noWrap/>
            <w:vAlign w:val="center"/>
          </w:tcPr>
          <w:p w14:paraId="1E729E6A" w14:textId="77777777" w:rsidR="00055BFC" w:rsidRPr="00487076" w:rsidRDefault="00055BFC" w:rsidP="00B92127">
            <w:pPr>
              <w:jc w:val="center"/>
              <w:rPr>
                <w:rFonts w:eastAsia="Times New Roman"/>
              </w:rPr>
            </w:pPr>
          </w:p>
        </w:tc>
      </w:tr>
    </w:tbl>
    <w:p w14:paraId="1D3F6E3C" w14:textId="77777777" w:rsidR="00055BFC" w:rsidRDefault="00055BFC" w:rsidP="00055BFC">
      <w:pPr>
        <w:pStyle w:val="Figure"/>
        <w:keepNext w:val="0"/>
        <w:spacing w:after="240"/>
        <w:ind w:left="709" w:right="0"/>
        <w:rPr>
          <w:lang w:val="cs-CZ"/>
        </w:rPr>
      </w:pPr>
      <w:r>
        <w:t xml:space="preserve">Рисунок 7. Принятие в производство, перенос, общее количество, </w:t>
      </w:r>
      <w:r>
        <w:rPr>
          <w:lang w:val="cs-CZ"/>
        </w:rPr>
        <w:br/>
      </w:r>
      <w:r>
        <w:t>число закрытых и открытых дел за год</w:t>
      </w:r>
    </w:p>
    <w:p w14:paraId="2574C326" w14:textId="77777777" w:rsidR="00055BFC" w:rsidRDefault="00055BFC" w:rsidP="00055BFC">
      <w:pPr>
        <w:pStyle w:val="Figure"/>
        <w:keepNext w:val="0"/>
        <w:ind w:left="709" w:right="0"/>
        <w:rPr>
          <w:lang w:val="cs-CZ"/>
        </w:rPr>
      </w:pPr>
      <w:r>
        <w:rPr>
          <w:noProof/>
          <w:sz w:val="16"/>
          <w:lang w:val="en-US"/>
        </w:rPr>
        <w:drawing>
          <wp:inline distT="0" distB="0" distL="0" distR="0" wp14:anchorId="2C27C19C" wp14:editId="0C3B3BCA">
            <wp:extent cx="5486400" cy="3175802"/>
            <wp:effectExtent l="0" t="0" r="0" b="5715"/>
            <wp:docPr id="283109411" name="Picture 1" descr="Obsah obrázku text, snímek obrazovky, diagram, Vykreslený graf&#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09411" name="Picture 1" descr="Obsah obrázku text, snímek obrazovky, diagram, Vykreslený graf&#10;&#10;Popis byl vytvořen automaticky"/>
                    <pic:cNvPicPr/>
                  </pic:nvPicPr>
                  <pic:blipFill>
                    <a:blip r:embed="rId32">
                      <a:extLst>
                        <a:ext uri="{28A0092B-C50C-407E-A947-70E740481C1C}">
                          <a14:useLocalDpi xmlns:a14="http://schemas.microsoft.com/office/drawing/2010/main" val="0"/>
                        </a:ext>
                      </a:extLst>
                    </a:blip>
                    <a:stretch>
                      <a:fillRect/>
                    </a:stretch>
                  </pic:blipFill>
                  <pic:spPr>
                    <a:xfrm>
                      <a:off x="0" y="0"/>
                      <a:ext cx="5490235" cy="3178022"/>
                    </a:xfrm>
                    <a:prstGeom prst="rect">
                      <a:avLst/>
                    </a:prstGeom>
                  </pic:spPr>
                </pic:pic>
              </a:graphicData>
            </a:graphic>
          </wp:inline>
        </w:drawing>
      </w:r>
    </w:p>
    <w:p w14:paraId="108AF655" w14:textId="77777777" w:rsidR="009D6AEA" w:rsidRPr="003B3BB9" w:rsidRDefault="009D6AEA" w:rsidP="00055BFC">
      <w:pPr>
        <w:pStyle w:val="Figure"/>
        <w:keepNext w:val="0"/>
        <w:ind w:left="709" w:right="0"/>
        <w:rPr>
          <w:lang w:val="cs-CZ"/>
        </w:rPr>
      </w:pPr>
    </w:p>
    <w:p w14:paraId="0B6F49FF" w14:textId="35F70AB7" w:rsidR="00055BFC" w:rsidRPr="00487076" w:rsidRDefault="009D6AEA" w:rsidP="00055BFC">
      <w:pPr>
        <w:pStyle w:val="Figure"/>
        <w:spacing w:before="360" w:after="240"/>
        <w:ind w:left="709" w:right="0"/>
      </w:pPr>
      <w:r>
        <w:rPr>
          <w:noProof/>
          <w:lang w:val="en-US"/>
        </w:rPr>
        <w:drawing>
          <wp:anchor distT="0" distB="0" distL="114300" distR="114300" simplePos="0" relativeHeight="251661312" behindDoc="0" locked="0" layoutInCell="1" allowOverlap="1" wp14:anchorId="57717E1C" wp14:editId="60622619">
            <wp:simplePos x="0" y="0"/>
            <wp:positionH relativeFrom="column">
              <wp:posOffset>657225</wp:posOffset>
            </wp:positionH>
            <wp:positionV relativeFrom="paragraph">
              <wp:posOffset>314325</wp:posOffset>
            </wp:positionV>
            <wp:extent cx="5190682" cy="3972909"/>
            <wp:effectExtent l="0" t="0" r="0" b="8890"/>
            <wp:wrapTopAndBottom/>
            <wp:docPr id="161601316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013162" name="Obrázek 4"/>
                    <pic:cNvPicPr/>
                  </pic:nvPicPr>
                  <pic:blipFill>
                    <a:blip r:embed="rId33">
                      <a:extLst>
                        <a:ext uri="{28A0092B-C50C-407E-A947-70E740481C1C}">
                          <a14:useLocalDpi xmlns:a14="http://schemas.microsoft.com/office/drawing/2010/main" val="0"/>
                        </a:ext>
                      </a:extLst>
                    </a:blip>
                    <a:stretch>
                      <a:fillRect/>
                    </a:stretch>
                  </pic:blipFill>
                  <pic:spPr>
                    <a:xfrm>
                      <a:off x="0" y="0"/>
                      <a:ext cx="5190682" cy="3972909"/>
                    </a:xfrm>
                    <a:prstGeom prst="rect">
                      <a:avLst/>
                    </a:prstGeom>
                  </pic:spPr>
                </pic:pic>
              </a:graphicData>
            </a:graphic>
            <wp14:sizeRelH relativeFrom="page">
              <wp14:pctWidth>0</wp14:pctWidth>
            </wp14:sizeRelH>
            <wp14:sizeRelV relativeFrom="page">
              <wp14:pctHeight>0</wp14:pctHeight>
            </wp14:sizeRelV>
          </wp:anchor>
        </w:drawing>
      </w:r>
      <w:r w:rsidR="00055BFC">
        <w:t>Рисунок 8. Количество дел на конец 2024 года (448 дел)</w:t>
      </w:r>
    </w:p>
    <w:p w14:paraId="47767029" w14:textId="23A61818" w:rsidR="00055BFC" w:rsidRDefault="00055BFC" w:rsidP="00055BFC">
      <w:pPr>
        <w:spacing w:after="240"/>
        <w:ind w:left="709"/>
        <w:jc w:val="center"/>
        <w:rPr>
          <w:lang w:val="cs-CZ"/>
        </w:rPr>
      </w:pPr>
    </w:p>
    <w:p w14:paraId="25B9BB66" w14:textId="0EDB910C" w:rsidR="00055BFC" w:rsidRPr="00487076" w:rsidRDefault="00055BFC" w:rsidP="00055BFC">
      <w:pPr>
        <w:pStyle w:val="Para1"/>
        <w:numPr>
          <w:ilvl w:val="0"/>
          <w:numId w:val="0"/>
        </w:numPr>
        <w:ind w:left="720" w:hanging="11"/>
      </w:pPr>
      <w:r w:rsidRPr="00487076">
        <w:t>82.</w:t>
      </w:r>
      <w:r w:rsidRPr="00487076">
        <w:tab/>
      </w:r>
      <w:r>
        <w:t>В целом, как указано выше, к концу 2024 года было завершено 165 дел. Эти 165 дел — это на 3 процента больше, чем число дел, закрытых в 2023 году (160), на 68 процентов больше, чем в 2022 году (98), на 63 процента больше, чем в 2021 году (101), на 120 процентов больше, чем в 2020 году (75), и на 371 процент больше, чем в 2019 году (35).</w:t>
      </w:r>
    </w:p>
    <w:p w14:paraId="6156FE1C" w14:textId="77777777" w:rsidR="00055BFC" w:rsidRPr="00487076" w:rsidRDefault="00055BFC" w:rsidP="00055BFC">
      <w:pPr>
        <w:pStyle w:val="Paraa"/>
        <w:numPr>
          <w:ilvl w:val="0"/>
          <w:numId w:val="0"/>
        </w:numPr>
        <w:ind w:left="720"/>
      </w:pPr>
      <w:r w:rsidRPr="00487076">
        <w:t>(a)</w:t>
      </w:r>
      <w:r w:rsidRPr="00487076">
        <w:tab/>
      </w:r>
      <w:r>
        <w:t>Из 165 дел 151 (92 процента) касались внутренних или внешних расследований УАР, то есть расследований под руководством УАР, а 14 (8 процентов) — расследований третьих сторон, в которых УАР рассматривало досье расследования на предмет возможного одобрения. Большинство этих расследований, проведенных третьими сторонами, были проведены партнерами-исполнителями ЮНФПА (12 дел), а остальные расследования были проведены другими подразделениями Организации Объединенных Наций, проводящими расследования (один случай), и в рамках специальных аудитов (один случай).</w:t>
      </w:r>
    </w:p>
    <w:p w14:paraId="615F7201" w14:textId="0825E6DE" w:rsidR="00055BFC" w:rsidRPr="00487076" w:rsidRDefault="00055BFC" w:rsidP="00055BFC">
      <w:pPr>
        <w:pStyle w:val="Paraa"/>
        <w:numPr>
          <w:ilvl w:val="0"/>
          <w:numId w:val="0"/>
        </w:numPr>
        <w:ind w:left="720"/>
      </w:pPr>
      <w:r w:rsidRPr="00487076">
        <w:t>(b)</w:t>
      </w:r>
      <w:r w:rsidRPr="00487076">
        <w:tab/>
      </w:r>
      <w:r>
        <w:t>Из 165 дел 129 (78 процентов) были закрыты на основании служебной записки после предварительного рассмотрения или до завершения полномасштабного расследования</w:t>
      </w:r>
      <w:r w:rsidRPr="00487076">
        <w:rPr>
          <w:vertAlign w:val="superscript"/>
        </w:rPr>
        <w:footnoteReference w:id="19"/>
      </w:r>
      <w:r w:rsidRPr="00C56824">
        <w:t>.</w:t>
      </w:r>
      <w:r>
        <w:t xml:space="preserve"> В число этих 129 дел также входят 11 (7 процентов) расследований, проведенных третьими сторонами — партнерами-исполнителями ЮНФПА, которые были закрыты УАР до проведения полномасштабного расследования и без официального одобрения со стороны УАР. В семи из этих 11 дел (4 процента) третьи стороны подтвердили основные обвинения; в четырех случаях обвинения не были подтверждены (2 процента) (см. рисунки 9 и 10</w:t>
      </w:r>
      <w:r w:rsidR="007E3045">
        <w:rPr>
          <w:lang w:val="en-US"/>
        </w:rPr>
        <w:t> </w:t>
      </w:r>
      <w:r>
        <w:t>ниже).</w:t>
      </w:r>
    </w:p>
    <w:p w14:paraId="25A5778B" w14:textId="77777777" w:rsidR="00055BFC" w:rsidRPr="00487076" w:rsidRDefault="00055BFC" w:rsidP="00055BFC">
      <w:pPr>
        <w:pStyle w:val="Paraa"/>
        <w:numPr>
          <w:ilvl w:val="0"/>
          <w:numId w:val="0"/>
        </w:numPr>
        <w:ind w:left="720"/>
      </w:pPr>
      <w:r w:rsidRPr="00487076">
        <w:t>(c)</w:t>
      </w:r>
      <w:r w:rsidRPr="00487076">
        <w:tab/>
      </w:r>
      <w:r>
        <w:t>Тридцать шесть дел (22 процента) было закрыто на основании отчета о расследовании или отчета о завершении расследования после проведения полномасштабного расследования, т. е. после того, как субъект был уведомлен, все соответствующие свидетели были опрошены и все соответствующие доказательства изучены (см. рисунки 9 и 10).</w:t>
      </w:r>
    </w:p>
    <w:p w14:paraId="57E7C78B" w14:textId="4E90CF8E" w:rsidR="00055BFC" w:rsidRPr="00487076" w:rsidRDefault="00055BFC" w:rsidP="00055BFC">
      <w:pPr>
        <w:pStyle w:val="Paraa"/>
        <w:numPr>
          <w:ilvl w:val="0"/>
          <w:numId w:val="0"/>
        </w:numPr>
        <w:ind w:left="720"/>
      </w:pPr>
      <w:r w:rsidRPr="00487076">
        <w:t>(d)</w:t>
      </w:r>
      <w:r w:rsidRPr="00487076">
        <w:tab/>
      </w:r>
      <w:r>
        <w:t>Из 36 дел, закрытых после проведения полномасштабного расследования, 33 касалось расследований, проведенных УАР. В 21 (двадцати одном) из этих расследований, проведенных под руководством УАР, по крайней мере одно обвинение было подтверждено. Это составляет 13 процентов от общего числа закрытых дел и 64 процента от всех расследований, проведенных УАР. Двенадцать расследований, проведенных под руководством УАР, были признаны необоснованными. Это составляет 7 процентов от общего числа закрытых дел и 36 процентов от всех расследований, проведенных УАР. Три досье расследований, проведенных третьими сторонами (2 процента от общего числа закрытых дел), были одобрены УАР после инициации полномасштабного расследования УАР. Эти расследования третьих сторон проводились партнером-исполнителем ЮНФПА (одно дело), другим подразделением Организации Объединенных Наций по расследованиям (одно дело) и по результатам одобрения совместного специального аудита (одно дело) (см. рисунок 10 ниже).</w:t>
      </w:r>
    </w:p>
    <w:p w14:paraId="71DEF43D" w14:textId="4E3C2F7B" w:rsidR="00055BFC" w:rsidRPr="00487076" w:rsidRDefault="00055BFC" w:rsidP="00055BFC">
      <w:pPr>
        <w:pStyle w:val="Paraa"/>
        <w:numPr>
          <w:ilvl w:val="0"/>
          <w:numId w:val="0"/>
        </w:numPr>
        <w:ind w:left="720"/>
      </w:pPr>
      <w:r w:rsidRPr="00487076">
        <w:t>(e)</w:t>
      </w:r>
      <w:r w:rsidRPr="00487076">
        <w:tab/>
      </w:r>
      <w:r>
        <w:t>Тридцать (18 процентов) из 165 завершенных дел касались нынешних или бывших старших должностных лиц ЮНФПА на уровне P5 и выше. Двадцать два дела (13 процентов от общего числа закрытых дел) были закрыты на основании служебной записки до проведения полномасштабного расследования; пять дел (3 процента) были подтверждены после полномасштабного расследования под руководством УАР; одно дело касалось обвинений, подтвержденных другим учреждением Организации Объединенных Наций, проводящим расследование, которые УАР одобрило (&lt;1 процента); и два дела (1 процент) не подтвердились после проведения полномасштабного расследования под руководством УАР.</w:t>
      </w:r>
    </w:p>
    <w:p w14:paraId="114CB2B6" w14:textId="0B529C10" w:rsidR="00055BFC" w:rsidRPr="00487076" w:rsidRDefault="00055BFC" w:rsidP="00055BFC">
      <w:pPr>
        <w:pStyle w:val="Paraa"/>
        <w:numPr>
          <w:ilvl w:val="0"/>
          <w:numId w:val="0"/>
        </w:numPr>
        <w:ind w:left="720"/>
      </w:pPr>
      <w:r w:rsidRPr="00487076">
        <w:t>(f)</w:t>
      </w:r>
      <w:r w:rsidRPr="00487076">
        <w:tab/>
      </w:r>
      <w:r>
        <w:t xml:space="preserve">В 2024 году УАР направило восемь направлений/консультативных меморандумов, касающихся девяти дел, в соответствующие отделения ЮНФПА или другие учреждения Организации Объединенных Наций для принятия необходимых мер. </w:t>
      </w:r>
    </w:p>
    <w:p w14:paraId="4670AEFB" w14:textId="256BDF5C" w:rsidR="00055BFC" w:rsidRPr="00487076" w:rsidRDefault="009D6AEA" w:rsidP="00055BFC">
      <w:pPr>
        <w:pStyle w:val="Figure"/>
        <w:spacing w:before="360" w:after="240"/>
        <w:ind w:left="709" w:right="0"/>
      </w:pPr>
      <w:r>
        <w:rPr>
          <w:noProof/>
          <w:lang w:val="en-US"/>
        </w:rPr>
        <w:drawing>
          <wp:anchor distT="0" distB="0" distL="114300" distR="114300" simplePos="0" relativeHeight="251662336" behindDoc="0" locked="0" layoutInCell="1" allowOverlap="1" wp14:anchorId="70615E22" wp14:editId="021B9917">
            <wp:simplePos x="0" y="0"/>
            <wp:positionH relativeFrom="column">
              <wp:posOffset>238125</wp:posOffset>
            </wp:positionH>
            <wp:positionV relativeFrom="paragraph">
              <wp:posOffset>624840</wp:posOffset>
            </wp:positionV>
            <wp:extent cx="6312090" cy="3233453"/>
            <wp:effectExtent l="0" t="0" r="0" b="5080"/>
            <wp:wrapTopAndBottom/>
            <wp:docPr id="762978752" name="Obrázek 5" descr="Obsah obrázku text, snímek obrazovky, diagram, Vykreslený graf&#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978752" name="Obrázek 5" descr="Obsah obrázku text, snímek obrazovky, diagram, Vykreslený graf&#10;&#10;Popis byl vytvořen automaticky"/>
                    <pic:cNvPicPr/>
                  </pic:nvPicPr>
                  <pic:blipFill>
                    <a:blip r:embed="rId34">
                      <a:extLst>
                        <a:ext uri="{28A0092B-C50C-407E-A947-70E740481C1C}">
                          <a14:useLocalDpi xmlns:a14="http://schemas.microsoft.com/office/drawing/2010/main" val="0"/>
                        </a:ext>
                      </a:extLst>
                    </a:blip>
                    <a:stretch>
                      <a:fillRect/>
                    </a:stretch>
                  </pic:blipFill>
                  <pic:spPr>
                    <a:xfrm>
                      <a:off x="0" y="0"/>
                      <a:ext cx="6312090" cy="3233453"/>
                    </a:xfrm>
                    <a:prstGeom prst="rect">
                      <a:avLst/>
                    </a:prstGeom>
                  </pic:spPr>
                </pic:pic>
              </a:graphicData>
            </a:graphic>
            <wp14:sizeRelH relativeFrom="page">
              <wp14:pctWidth>0</wp14:pctWidth>
            </wp14:sizeRelH>
            <wp14:sizeRelV relativeFrom="page">
              <wp14:pctHeight>0</wp14:pctHeight>
            </wp14:sizeRelV>
          </wp:anchor>
        </w:drawing>
      </w:r>
      <w:r w:rsidR="00055BFC">
        <w:t xml:space="preserve">Рисунок 9. Распределение дел, расследованных УАР в 2024 году (151 дело), </w:t>
      </w:r>
      <w:r w:rsidR="00055BFC">
        <w:rPr>
          <w:lang w:val="cs-CZ"/>
        </w:rPr>
        <w:br/>
      </w:r>
      <w:r w:rsidR="00055BFC">
        <w:t>по категориям и результатам</w:t>
      </w:r>
    </w:p>
    <w:p w14:paraId="6BF5BC3B" w14:textId="179E0D2B" w:rsidR="00055BFC" w:rsidRDefault="00055BFC" w:rsidP="00055BFC">
      <w:pPr>
        <w:rPr>
          <w:lang w:val="cs-CZ"/>
        </w:rPr>
      </w:pPr>
    </w:p>
    <w:p w14:paraId="4D431699" w14:textId="0FFC797D" w:rsidR="00055BFC" w:rsidRPr="00487076" w:rsidRDefault="009D6AEA" w:rsidP="00055BFC">
      <w:pPr>
        <w:pStyle w:val="Figure"/>
        <w:spacing w:before="360" w:after="240"/>
        <w:ind w:left="709" w:right="0"/>
      </w:pPr>
      <w:r>
        <w:rPr>
          <w:noProof/>
          <w:lang w:val="en-US"/>
        </w:rPr>
        <w:drawing>
          <wp:anchor distT="0" distB="0" distL="114300" distR="114300" simplePos="0" relativeHeight="251663360" behindDoc="0" locked="0" layoutInCell="1" allowOverlap="1" wp14:anchorId="5ECD79F9" wp14:editId="6C36173E">
            <wp:simplePos x="0" y="0"/>
            <wp:positionH relativeFrom="column">
              <wp:posOffset>762000</wp:posOffset>
            </wp:positionH>
            <wp:positionV relativeFrom="paragraph">
              <wp:posOffset>485775</wp:posOffset>
            </wp:positionV>
            <wp:extent cx="5177642" cy="3403484"/>
            <wp:effectExtent l="0" t="0" r="4445" b="6985"/>
            <wp:wrapTopAndBottom/>
            <wp:docPr id="573177111" name="Obrázek 6" descr="Obsah obrázku text, snímek obrazovky, Obdélník,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177111" name="Obrázek 6" descr="Obsah obrázku text, snímek obrazovky, Obdélník, diagram&#10;&#10;Popis byl vytvořen automaticky"/>
                    <pic:cNvPicPr/>
                  </pic:nvPicPr>
                  <pic:blipFill>
                    <a:blip r:embed="rId35">
                      <a:extLst>
                        <a:ext uri="{28A0092B-C50C-407E-A947-70E740481C1C}">
                          <a14:useLocalDpi xmlns:a14="http://schemas.microsoft.com/office/drawing/2010/main" val="0"/>
                        </a:ext>
                      </a:extLst>
                    </a:blip>
                    <a:stretch>
                      <a:fillRect/>
                    </a:stretch>
                  </pic:blipFill>
                  <pic:spPr>
                    <a:xfrm>
                      <a:off x="0" y="0"/>
                      <a:ext cx="5177642" cy="3403484"/>
                    </a:xfrm>
                    <a:prstGeom prst="rect">
                      <a:avLst/>
                    </a:prstGeom>
                  </pic:spPr>
                </pic:pic>
              </a:graphicData>
            </a:graphic>
            <wp14:sizeRelH relativeFrom="page">
              <wp14:pctWidth>0</wp14:pctWidth>
            </wp14:sizeRelH>
            <wp14:sizeRelV relativeFrom="page">
              <wp14:pctHeight>0</wp14:pctHeight>
            </wp14:sizeRelV>
          </wp:anchor>
        </w:drawing>
      </w:r>
      <w:r w:rsidR="00055BFC">
        <w:t xml:space="preserve">Рисунок 10. Распределение расследований третьих сторон, </w:t>
      </w:r>
      <w:r w:rsidR="00055BFC">
        <w:rPr>
          <w:lang w:val="cs-CZ"/>
        </w:rPr>
        <w:br/>
      </w:r>
      <w:r w:rsidR="00055BFC">
        <w:t>рассмотренных УАР в 2024 году (14 дел), по категориям и результатам</w:t>
      </w:r>
    </w:p>
    <w:p w14:paraId="21C6CC77" w14:textId="4BF1A2B9" w:rsidR="00055BFC" w:rsidRDefault="00055BFC" w:rsidP="00055BFC">
      <w:pPr>
        <w:spacing w:after="480"/>
        <w:ind w:left="709"/>
        <w:jc w:val="center"/>
        <w:rPr>
          <w:lang w:val="cs-CZ"/>
        </w:rPr>
      </w:pPr>
    </w:p>
    <w:p w14:paraId="629EC5BF" w14:textId="42A63173" w:rsidR="00055BFC" w:rsidRPr="00487076" w:rsidRDefault="00055BFC" w:rsidP="00055BFC">
      <w:pPr>
        <w:pStyle w:val="Para1"/>
        <w:numPr>
          <w:ilvl w:val="0"/>
          <w:numId w:val="0"/>
        </w:numPr>
        <w:ind w:left="720" w:hanging="11"/>
      </w:pPr>
      <w:r w:rsidRPr="00487076">
        <w:t>83.</w:t>
      </w:r>
      <w:r w:rsidRPr="00487076">
        <w:tab/>
      </w:r>
      <w:r>
        <w:t>Из 36 дел, которые были закрыты после полномасштабного расследования в 2024 году, 21 были полностью или частично подкреплены доказательствами, а три досье третьих сторон были одобрены после полномасштабного расследования (см. рисунки 9 и 10, таблицу 8 и подробную информацию в приложении 4). При расследовании случаев преследования УАР закрывает дело, передавая отчет в Бюро по вопросам этики для принятия им дальнейших мер, независимо от того, подтвердились ли обвинения. Во всех остальных случаях, если в результате расследования УАР было обнаружено хотя бы одно обоснованное обвинение, УАР закрывает дело, представляя отчет о расследовании в юридический отдел ЮНФПА для принятия дальнейших мер. Если обвинения не подтвердились, то УАР закрывает дело по служебной записке (см. рисунок 9 и таблицу 8).</w:t>
      </w:r>
    </w:p>
    <w:p w14:paraId="00152C66" w14:textId="77777777" w:rsidR="00055BFC" w:rsidRPr="00487076" w:rsidRDefault="00055BFC" w:rsidP="00055BFC">
      <w:pPr>
        <w:pStyle w:val="Para1"/>
        <w:numPr>
          <w:ilvl w:val="0"/>
          <w:numId w:val="0"/>
        </w:numPr>
        <w:ind w:left="720" w:hanging="11"/>
      </w:pPr>
      <w:r w:rsidRPr="00487076">
        <w:t>84.</w:t>
      </w:r>
      <w:r w:rsidRPr="00487076">
        <w:tab/>
      </w:r>
      <w:r>
        <w:t>УАР рассматривает досье расследований, проводимых третьими сторонами, на предмет возможного одобрения. Как правило, расследования третьих сторон закрывают по служебной записке, если они могут быть одобрены без необходимости дальнейшего расследования/действий, или если УАР не может одобрить, но есть веские причины не начинать полномасштабное расследование. УАР инициирует полномасштабное расследование по досье третьих сторон, когда требуются последующие действия, например УАР или третьему лицу необходимо провести дополнительное расследование или когда считается, что вопрос должен быть передан в юридический отдел или Комитет по проверке партнеров-исполнителей (см. рисунок 10 и таблицу 8).</w:t>
      </w:r>
    </w:p>
    <w:p w14:paraId="4754E9C5" w14:textId="77777777" w:rsidR="00055BFC" w:rsidRPr="00487076" w:rsidRDefault="00055BFC" w:rsidP="00055BFC">
      <w:pPr>
        <w:pStyle w:val="Para1"/>
        <w:numPr>
          <w:ilvl w:val="0"/>
          <w:numId w:val="0"/>
        </w:numPr>
        <w:ind w:left="720" w:hanging="11"/>
      </w:pPr>
      <w:r w:rsidRPr="00487076">
        <w:t>85.</w:t>
      </w:r>
      <w:r w:rsidRPr="00487076">
        <w:tab/>
      </w:r>
      <w:r>
        <w:t>В 24 делах с подтвержденными обвинениями и одобренных досье третьих сторон обвинения можно разделить следующим образом.</w:t>
      </w:r>
    </w:p>
    <w:p w14:paraId="1F99048F" w14:textId="77777777" w:rsidR="00055BFC" w:rsidRPr="00487076" w:rsidRDefault="00055BFC" w:rsidP="00055BFC">
      <w:pPr>
        <w:pStyle w:val="Paraa"/>
        <w:numPr>
          <w:ilvl w:val="0"/>
          <w:numId w:val="0"/>
        </w:numPr>
        <w:ind w:left="720"/>
      </w:pPr>
      <w:r w:rsidRPr="00487076">
        <w:t>(a)</w:t>
      </w:r>
      <w:r w:rsidRPr="00487076">
        <w:tab/>
      </w:r>
      <w:r>
        <w:t>Большинство дел (15 дел, 62 процента) касались мошенничества и финансовых нарушений, которые включают в себя пять случаев мошенничества партнеров-исполнителей (21 процент), четыре случая запрещенной практики (17 процентов), два случая мошенничества консультантов (8 процентов) и два случая мошенничества поставщиков (8 процентов), по одному случаю мошенничества с пособиями и льготами (4 процента) и кражи (4 процента);</w:t>
      </w:r>
    </w:p>
    <w:p w14:paraId="4C50A8D5" w14:textId="77777777" w:rsidR="00055BFC" w:rsidRPr="00487076" w:rsidRDefault="00055BFC" w:rsidP="00055BFC">
      <w:pPr>
        <w:pStyle w:val="Paraa"/>
        <w:numPr>
          <w:ilvl w:val="0"/>
          <w:numId w:val="0"/>
        </w:numPr>
        <w:ind w:left="720" w:hanging="14"/>
      </w:pPr>
      <w:r w:rsidRPr="00487076">
        <w:t>(b)</w:t>
      </w:r>
      <w:r w:rsidRPr="00487076">
        <w:tab/>
      </w:r>
      <w:r>
        <w:t>Сексуальные преследования (три дела, что составляет 13 процентов), в том числе два дела в отношении сексуальных домогательств (8 процентов) и одно дело в отношении сексуальной эксплуатации и сексуальных надругательств (4 процента);</w:t>
      </w:r>
    </w:p>
    <w:p w14:paraId="4D69C6C6" w14:textId="77777777" w:rsidR="00055BFC" w:rsidRPr="00487076" w:rsidRDefault="00055BFC" w:rsidP="00055BFC">
      <w:pPr>
        <w:pStyle w:val="Paraa"/>
        <w:numPr>
          <w:ilvl w:val="0"/>
          <w:numId w:val="0"/>
        </w:numPr>
        <w:ind w:left="720" w:hanging="14"/>
      </w:pPr>
      <w:r w:rsidRPr="00487076">
        <w:t>(c)</w:t>
      </w:r>
      <w:r w:rsidRPr="00487076">
        <w:tab/>
      </w:r>
      <w:r>
        <w:t>Запрещенное поведение (три дела, что составляет 13 процентов), включающее три дела, касающихся злоупотребления служебным положением на рабочем месте / злоупотребления властью;</w:t>
      </w:r>
    </w:p>
    <w:p w14:paraId="6DFB7A23" w14:textId="77777777" w:rsidR="00055BFC" w:rsidRPr="00487076" w:rsidRDefault="00055BFC" w:rsidP="00055BFC">
      <w:pPr>
        <w:pStyle w:val="Paraa"/>
        <w:numPr>
          <w:ilvl w:val="0"/>
          <w:numId w:val="0"/>
        </w:numPr>
        <w:ind w:left="720" w:hanging="14"/>
      </w:pPr>
      <w:r w:rsidRPr="00487076">
        <w:t>(d)</w:t>
      </w:r>
      <w:r w:rsidRPr="00487076">
        <w:tab/>
      </w:r>
      <w:r>
        <w:t>Прочие правонарушения (два дела, что составляет 8 процентов), включая одно дело о фаворитизме (4 процента) и одно дело о неэтичной практике (4 процента); и</w:t>
      </w:r>
    </w:p>
    <w:p w14:paraId="6389733E" w14:textId="77777777" w:rsidR="00055BFC" w:rsidRPr="00487076" w:rsidRDefault="00055BFC" w:rsidP="00055BFC">
      <w:pPr>
        <w:pStyle w:val="Paraa"/>
        <w:numPr>
          <w:ilvl w:val="0"/>
          <w:numId w:val="0"/>
        </w:numPr>
        <w:ind w:left="720" w:hanging="14"/>
      </w:pPr>
      <w:r w:rsidRPr="00487076">
        <w:t>(e)</w:t>
      </w:r>
      <w:r w:rsidRPr="00487076">
        <w:tab/>
      </w:r>
      <w:r>
        <w:t>Преследования (одно дело, что составляет 4 процента).</w:t>
      </w:r>
    </w:p>
    <w:p w14:paraId="2B170C55" w14:textId="77777777" w:rsidR="00055BFC" w:rsidRPr="00487076" w:rsidRDefault="00055BFC" w:rsidP="00055BFC">
      <w:pPr>
        <w:pStyle w:val="Para1"/>
        <w:numPr>
          <w:ilvl w:val="0"/>
          <w:numId w:val="0"/>
        </w:numPr>
        <w:ind w:left="720" w:hanging="11"/>
      </w:pPr>
      <w:r w:rsidRPr="00487076">
        <w:t>86.</w:t>
      </w:r>
      <w:r w:rsidRPr="00487076">
        <w:tab/>
      </w:r>
      <w:r>
        <w:t>Из дел, связанных с финансовыми вопросами и закрытых после полномасштабного расследования, семь имели финансовые последствия для ЮНФПА, и в каждом случае УАР смогло определить предполагаемый ущерб. Совокупная стоимость дел с подтвержденными обвинениями, которые принесли убытки ЮНФПА в результате мошеннических действий или финансовых нарушений, составила 2 613 691 долл. США (см. приложение 4)</w:t>
      </w:r>
      <w:r w:rsidRPr="00487076">
        <w:rPr>
          <w:rStyle w:val="FootnoteReference"/>
        </w:rPr>
        <w:footnoteReference w:id="20"/>
      </w:r>
      <w:r w:rsidRPr="00C56824">
        <w:t>.</w:t>
      </w:r>
      <w:r>
        <w:t xml:space="preserve"> Руководство компании предпринимает все возможные меры для возмещения убытков.</w:t>
      </w:r>
    </w:p>
    <w:p w14:paraId="2E40E78E" w14:textId="77777777" w:rsidR="00055BFC" w:rsidRPr="00487076" w:rsidRDefault="00055BFC" w:rsidP="00055BFC">
      <w:pPr>
        <w:pStyle w:val="Para1"/>
        <w:numPr>
          <w:ilvl w:val="0"/>
          <w:numId w:val="0"/>
        </w:numPr>
        <w:ind w:left="720" w:hanging="11"/>
      </w:pPr>
      <w:r w:rsidRPr="00487076">
        <w:t>87.</w:t>
      </w:r>
      <w:r w:rsidRPr="00487076">
        <w:tab/>
      </w:r>
      <w:r>
        <w:t>По состоянию на конец 2024 года на 2025 год были перенесены 283 дела. В основном эти дела связаны с мошенничеством партнеров-исполнителей (63 дела, 22 процента); запрещенной практикой (55 дел, 19 процентов); домогательствами/злоупотреблением служебным положением на рабочем месте (45 дел, 16 процентов); сексуальной эксплуатацией и сексуальными надругательствами (38 дел, 13 процентов) — все они были перенесены на 2025 год (см. приложение 5 и рисунок 11). Это на 10 процентов меньше перенесенных дел по сравнению с концом 2023 года (314 дел), на 8 процентов меньше по сравнению с концом 2022 года (306 дел) и на 19 процентов больше по сравнению с концом 2021 года (238 дел). Сокращение числа дел, перенесенных на 2025 год, по сравнению с последними годами обусловлено постоянными усилиями УАР по рассмотрению большого количества нерассмотренных дел, которые накопились за последние годы в связи с увеличением числа сообщений о неправомерных действиях и предыдущими вакансиями в отделе расследований.</w:t>
      </w:r>
    </w:p>
    <w:p w14:paraId="0B0001CA" w14:textId="77777777" w:rsidR="00055BFC" w:rsidRPr="00487076" w:rsidRDefault="00055BFC" w:rsidP="00055BFC">
      <w:pPr>
        <w:pStyle w:val="Para1"/>
        <w:numPr>
          <w:ilvl w:val="0"/>
          <w:numId w:val="0"/>
        </w:numPr>
        <w:ind w:left="720" w:hanging="11"/>
      </w:pPr>
      <w:r w:rsidRPr="00487076">
        <w:t>88.</w:t>
      </w:r>
      <w:r w:rsidRPr="00487076">
        <w:tab/>
      </w:r>
      <w:r>
        <w:t>Из 283 незакрытых дел на конец 2024 года 32 (11 процентов) касаются нынешних или бывших старших должностных лиц ЮНФПА на уровне P-5 и выше. Из общего числа, составляющего 283 незакрытых дела, 206 (73 процента) находились на стадии предварительного расследования, а остальные (77) — либо на стадии расследования (65 дел, 23 процента), либо на стадии подготовки отчета (12 дел, 4 процента). В соответствии с согласованными определениями и отчетностью фондов и программ 206 незакрытых дел на этапе предварительного рассмотрения касались мошенничества/финансовых нарушений (53 процента), сексуального преследования (23 процента), запрещенного поведения (14 процентов) и других правонарушений (10 процентов).</w:t>
      </w:r>
    </w:p>
    <w:p w14:paraId="1A5155A3" w14:textId="77777777" w:rsidR="00055BFC" w:rsidRPr="00487076" w:rsidRDefault="00055BFC" w:rsidP="00055BFC">
      <w:pPr>
        <w:pStyle w:val="Para1"/>
        <w:numPr>
          <w:ilvl w:val="0"/>
          <w:numId w:val="0"/>
        </w:numPr>
        <w:ind w:left="720" w:hanging="11"/>
      </w:pPr>
      <w:r w:rsidRPr="00487076">
        <w:t>89.</w:t>
      </w:r>
      <w:r w:rsidRPr="00487076">
        <w:tab/>
      </w:r>
      <w:r>
        <w:t>Дела, завершенные в 2024 году, в среднем были закрыты за 27,56 месяца с момента открытия до закрытия. Хотя эта цифра может показаться высокой, она отражает целенаправленные усилия УАР в 2024 году по устранению отставания в рассмотрении старых дел, некоторые из которых находятся на рассмотрении уже более пяти лет. Общий объем дел в производстве на конец года рассматривался в среднем в течение 18,65 месяца; по 84 процентам дел был превышен шестимесячный целевой показатель (т. е. дела были получены УАР до 01 июля 2024 года) — в среднем он составил 21,6 месяца.</w:t>
      </w:r>
    </w:p>
    <w:p w14:paraId="3D4F0AFB" w14:textId="77777777" w:rsidR="00055BFC" w:rsidRPr="00487076" w:rsidRDefault="00055BFC" w:rsidP="00055BFC">
      <w:pPr>
        <w:pStyle w:val="Para1"/>
        <w:numPr>
          <w:ilvl w:val="0"/>
          <w:numId w:val="0"/>
        </w:numPr>
        <w:ind w:left="720" w:hanging="11"/>
      </w:pPr>
      <w:r w:rsidRPr="00487076">
        <w:t>90.</w:t>
      </w:r>
      <w:r w:rsidRPr="00487076">
        <w:tab/>
      </w:r>
      <w:r>
        <w:t>В ходе проведения расследований в 2024 году УАР направило пять запросов о предоставлении/продлении административного отпуска в отношении сотрудников ЮНФПА, и все запросы были одобрены. УАР также выдало 5 уведомлений об изъятии оборудования ИКТ и вручило 30 уведомлений о проведении официального расследования в отношении сотрудников ЮНФПА, поставщиков услуг и партнеров-исполнителей. Следует отметить, что направление уведомлений о проведении официального расследования обычно происходит в конце расследования и незадолго до опроса лица, в отношении которого выдвинуты обвинения, а не обязательно после инициации полномасштабного расследования. По завершении дела может потребоваться поделиться наблюдениями или дать рекомендации руководству или внешним сторонам по вопросам контроля или передовой практики или передать обвинения в другую организацию для расследования или принятия мер. В 2024 году УАР выпустило такие меморандумы.</w:t>
      </w:r>
    </w:p>
    <w:p w14:paraId="1C6524F0" w14:textId="77777777" w:rsidR="00055BFC" w:rsidRPr="00487076" w:rsidRDefault="00055BFC" w:rsidP="00055BFC">
      <w:pPr>
        <w:pStyle w:val="Figure"/>
        <w:keepLines/>
        <w:spacing w:before="240"/>
        <w:ind w:left="1281" w:right="578"/>
      </w:pPr>
      <w:r>
        <w:t>Таблица 8. Распределение дел, закрытых в 2024 году</w:t>
      </w: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70"/>
        <w:gridCol w:w="1710"/>
      </w:tblGrid>
      <w:tr w:rsidR="00055BFC" w:rsidRPr="00487076" w14:paraId="540B38F5" w14:textId="77777777" w:rsidTr="00B92127">
        <w:trPr>
          <w:trHeight w:val="344"/>
          <w:tblHeader/>
          <w:jc w:val="center"/>
        </w:trPr>
        <w:tc>
          <w:tcPr>
            <w:tcW w:w="5670" w:type="dxa"/>
            <w:shd w:val="clear" w:color="auto" w:fill="D9D9D9"/>
            <w:tcMar>
              <w:top w:w="0" w:type="dxa"/>
              <w:left w:w="108" w:type="dxa"/>
              <w:bottom w:w="0" w:type="dxa"/>
              <w:right w:w="108" w:type="dxa"/>
            </w:tcMar>
            <w:vAlign w:val="center"/>
            <w:hideMark/>
          </w:tcPr>
          <w:p w14:paraId="6F46D849" w14:textId="77777777" w:rsidR="00055BFC" w:rsidRPr="00487076" w:rsidRDefault="00055BFC" w:rsidP="00B92127">
            <w:pPr>
              <w:keepNext/>
              <w:keepLines/>
              <w:spacing w:line="240" w:lineRule="auto"/>
              <w:jc w:val="center"/>
              <w:rPr>
                <w:rFonts w:eastAsia="Times New Roman"/>
                <w:color w:val="222222"/>
              </w:rPr>
            </w:pPr>
            <w:r>
              <w:rPr>
                <w:b/>
                <w:color w:val="000000"/>
                <w:sz w:val="18"/>
              </w:rPr>
              <w:t>Тип закрытия</w:t>
            </w:r>
          </w:p>
        </w:tc>
        <w:tc>
          <w:tcPr>
            <w:tcW w:w="1710" w:type="dxa"/>
            <w:shd w:val="clear" w:color="auto" w:fill="D9D9D9"/>
            <w:tcMar>
              <w:top w:w="0" w:type="dxa"/>
              <w:left w:w="108" w:type="dxa"/>
              <w:bottom w:w="0" w:type="dxa"/>
              <w:right w:w="108" w:type="dxa"/>
            </w:tcMar>
            <w:vAlign w:val="center"/>
            <w:hideMark/>
          </w:tcPr>
          <w:p w14:paraId="0BE46534" w14:textId="77777777" w:rsidR="00055BFC" w:rsidRPr="00487076" w:rsidRDefault="00055BFC" w:rsidP="00B92127">
            <w:pPr>
              <w:keepNext/>
              <w:keepLines/>
              <w:spacing w:line="240" w:lineRule="auto"/>
              <w:jc w:val="center"/>
              <w:rPr>
                <w:rFonts w:eastAsia="Times New Roman"/>
                <w:color w:val="222222"/>
              </w:rPr>
            </w:pPr>
            <w:r>
              <w:rPr>
                <w:b/>
                <w:color w:val="000000"/>
                <w:sz w:val="18"/>
              </w:rPr>
              <w:t>Число дел</w:t>
            </w:r>
          </w:p>
        </w:tc>
      </w:tr>
      <w:tr w:rsidR="00055BFC" w:rsidRPr="00487076" w14:paraId="64EC15AE" w14:textId="77777777" w:rsidTr="00B92127">
        <w:trPr>
          <w:trHeight w:val="288"/>
          <w:jc w:val="center"/>
        </w:trPr>
        <w:tc>
          <w:tcPr>
            <w:tcW w:w="7380" w:type="dxa"/>
            <w:gridSpan w:val="2"/>
            <w:shd w:val="clear" w:color="auto" w:fill="F2F2F2"/>
            <w:noWrap/>
            <w:tcMar>
              <w:top w:w="0" w:type="dxa"/>
              <w:left w:w="108" w:type="dxa"/>
              <w:bottom w:w="0" w:type="dxa"/>
              <w:right w:w="108" w:type="dxa"/>
            </w:tcMar>
            <w:vAlign w:val="center"/>
          </w:tcPr>
          <w:p w14:paraId="4D94EA44" w14:textId="77777777" w:rsidR="00055BFC" w:rsidRPr="00487076" w:rsidRDefault="00055BFC" w:rsidP="00B92127">
            <w:pPr>
              <w:keepNext/>
              <w:keepLines/>
              <w:spacing w:line="240" w:lineRule="auto"/>
              <w:rPr>
                <w:rFonts w:eastAsia="Times New Roman"/>
                <w:b/>
                <w:bCs/>
                <w:color w:val="000000"/>
                <w:sz w:val="18"/>
                <w:szCs w:val="18"/>
              </w:rPr>
            </w:pPr>
            <w:r>
              <w:rPr>
                <w:b/>
                <w:color w:val="000000"/>
                <w:sz w:val="18"/>
              </w:rPr>
              <w:t xml:space="preserve">ЧАСТЬ 1. ДЕЛА, ЗАКРЫТЫЕ ПОСЛЕ ПОЛНОМАСШТАБНОГО РАССЛЕДОВАНИЯ </w:t>
            </w:r>
          </w:p>
        </w:tc>
      </w:tr>
      <w:tr w:rsidR="00055BFC" w:rsidRPr="00487076" w14:paraId="78B07BAB" w14:textId="77777777" w:rsidTr="00B92127">
        <w:trPr>
          <w:trHeight w:val="288"/>
          <w:jc w:val="center"/>
        </w:trPr>
        <w:tc>
          <w:tcPr>
            <w:tcW w:w="7380" w:type="dxa"/>
            <w:gridSpan w:val="2"/>
            <w:shd w:val="clear" w:color="auto" w:fill="F2F2F2"/>
            <w:noWrap/>
            <w:tcMar>
              <w:top w:w="0" w:type="dxa"/>
              <w:left w:w="108" w:type="dxa"/>
              <w:bottom w:w="0" w:type="dxa"/>
              <w:right w:w="108" w:type="dxa"/>
            </w:tcMar>
            <w:vAlign w:val="center"/>
          </w:tcPr>
          <w:p w14:paraId="5008B264" w14:textId="77777777" w:rsidR="00055BFC" w:rsidRPr="00487076" w:rsidRDefault="00055BFC" w:rsidP="00B92127">
            <w:pPr>
              <w:keepNext/>
              <w:keepLines/>
              <w:spacing w:line="240" w:lineRule="auto"/>
              <w:rPr>
                <w:rFonts w:eastAsia="Times New Roman"/>
                <w:b/>
                <w:bCs/>
                <w:color w:val="000000"/>
                <w:sz w:val="18"/>
                <w:szCs w:val="18"/>
              </w:rPr>
            </w:pPr>
            <w:r>
              <w:rPr>
                <w:b/>
                <w:color w:val="000000"/>
                <w:sz w:val="18"/>
              </w:rPr>
              <w:t xml:space="preserve">Распределение отчетов о расследованиях с подтвержденными обвинениями, завершенных УАР: </w:t>
            </w:r>
          </w:p>
        </w:tc>
      </w:tr>
      <w:tr w:rsidR="00055BFC" w:rsidRPr="00487076" w14:paraId="77554803" w14:textId="77777777" w:rsidTr="00B92127">
        <w:trPr>
          <w:trHeight w:val="266"/>
          <w:jc w:val="center"/>
        </w:trPr>
        <w:tc>
          <w:tcPr>
            <w:tcW w:w="5670" w:type="dxa"/>
            <w:shd w:val="clear" w:color="auto" w:fill="FFFFFF"/>
            <w:noWrap/>
            <w:tcMar>
              <w:top w:w="0" w:type="dxa"/>
              <w:left w:w="108" w:type="dxa"/>
              <w:bottom w:w="0" w:type="dxa"/>
              <w:right w:w="108" w:type="dxa"/>
            </w:tcMar>
            <w:vAlign w:val="center"/>
            <w:hideMark/>
          </w:tcPr>
          <w:p w14:paraId="25854B0E" w14:textId="77777777" w:rsidR="00055BFC" w:rsidRPr="00487076" w:rsidRDefault="00055BFC" w:rsidP="00B92127">
            <w:pPr>
              <w:spacing w:line="240" w:lineRule="auto"/>
              <w:ind w:firstLine="330"/>
              <w:rPr>
                <w:rFonts w:eastAsia="Times New Roman"/>
                <w:color w:val="222222"/>
              </w:rPr>
            </w:pPr>
            <w:r>
              <w:rPr>
                <w:color w:val="000000"/>
                <w:sz w:val="18"/>
              </w:rPr>
              <w:t>Предоставлен в юридический отдел</w:t>
            </w:r>
          </w:p>
        </w:tc>
        <w:tc>
          <w:tcPr>
            <w:tcW w:w="1710" w:type="dxa"/>
            <w:shd w:val="clear" w:color="auto" w:fill="FFFFFF"/>
            <w:noWrap/>
            <w:tcMar>
              <w:top w:w="0" w:type="dxa"/>
              <w:left w:w="108" w:type="dxa"/>
              <w:bottom w:w="0" w:type="dxa"/>
              <w:right w:w="108" w:type="dxa"/>
            </w:tcMar>
            <w:vAlign w:val="center"/>
            <w:hideMark/>
          </w:tcPr>
          <w:p w14:paraId="059D1C59" w14:textId="77777777" w:rsidR="00055BFC" w:rsidRPr="00487076" w:rsidRDefault="00055BFC" w:rsidP="00B92127">
            <w:pPr>
              <w:spacing w:line="240" w:lineRule="auto"/>
              <w:jc w:val="center"/>
              <w:rPr>
                <w:rFonts w:eastAsia="Times New Roman"/>
                <w:color w:val="222222"/>
              </w:rPr>
            </w:pPr>
            <w:r>
              <w:rPr>
                <w:color w:val="000000"/>
                <w:sz w:val="18"/>
              </w:rPr>
              <w:t>20</w:t>
            </w:r>
          </w:p>
        </w:tc>
      </w:tr>
      <w:tr w:rsidR="00055BFC" w:rsidRPr="00487076" w14:paraId="6BF101C9" w14:textId="77777777" w:rsidTr="00B92127">
        <w:trPr>
          <w:trHeight w:val="266"/>
          <w:jc w:val="center"/>
        </w:trPr>
        <w:tc>
          <w:tcPr>
            <w:tcW w:w="5670" w:type="dxa"/>
            <w:shd w:val="clear" w:color="auto" w:fill="FFFFFF"/>
            <w:noWrap/>
            <w:tcMar>
              <w:top w:w="0" w:type="dxa"/>
              <w:left w:w="108" w:type="dxa"/>
              <w:bottom w:w="0" w:type="dxa"/>
              <w:right w:w="108" w:type="dxa"/>
            </w:tcMar>
            <w:vAlign w:val="center"/>
            <w:hideMark/>
          </w:tcPr>
          <w:p w14:paraId="1DB89873" w14:textId="77777777" w:rsidR="00055BFC" w:rsidRPr="00487076" w:rsidRDefault="00055BFC" w:rsidP="00B92127">
            <w:pPr>
              <w:spacing w:line="240" w:lineRule="auto"/>
              <w:ind w:firstLine="330"/>
              <w:rPr>
                <w:rFonts w:eastAsia="Times New Roman"/>
                <w:color w:val="222222"/>
              </w:rPr>
            </w:pPr>
            <w:r>
              <w:rPr>
                <w:color w:val="000000"/>
                <w:sz w:val="18"/>
              </w:rPr>
              <w:t>Предоставлен в Бюро по вопросам этики (преследование)</w:t>
            </w:r>
          </w:p>
        </w:tc>
        <w:tc>
          <w:tcPr>
            <w:tcW w:w="1710" w:type="dxa"/>
            <w:shd w:val="clear" w:color="auto" w:fill="FFFFFF"/>
            <w:noWrap/>
            <w:tcMar>
              <w:top w:w="0" w:type="dxa"/>
              <w:left w:w="108" w:type="dxa"/>
              <w:bottom w:w="0" w:type="dxa"/>
              <w:right w:w="108" w:type="dxa"/>
            </w:tcMar>
            <w:vAlign w:val="center"/>
            <w:hideMark/>
          </w:tcPr>
          <w:p w14:paraId="4DBD22E8" w14:textId="77777777" w:rsidR="00055BFC" w:rsidRPr="00487076" w:rsidRDefault="00055BFC" w:rsidP="00B92127">
            <w:pPr>
              <w:spacing w:line="240" w:lineRule="auto"/>
              <w:jc w:val="center"/>
              <w:rPr>
                <w:rFonts w:eastAsia="Times New Roman"/>
                <w:color w:val="222222"/>
              </w:rPr>
            </w:pPr>
            <w:r>
              <w:rPr>
                <w:color w:val="000000"/>
                <w:sz w:val="18"/>
              </w:rPr>
              <w:t>1</w:t>
            </w:r>
          </w:p>
        </w:tc>
      </w:tr>
      <w:tr w:rsidR="00055BFC" w:rsidRPr="00487076" w14:paraId="48D29C2F" w14:textId="77777777" w:rsidTr="00B92127">
        <w:trPr>
          <w:trHeight w:val="266"/>
          <w:jc w:val="center"/>
        </w:trPr>
        <w:tc>
          <w:tcPr>
            <w:tcW w:w="7380" w:type="dxa"/>
            <w:gridSpan w:val="2"/>
            <w:shd w:val="clear" w:color="auto" w:fill="F2F2F2" w:themeFill="background1" w:themeFillShade="F2"/>
            <w:noWrap/>
            <w:tcMar>
              <w:top w:w="0" w:type="dxa"/>
              <w:left w:w="108" w:type="dxa"/>
              <w:bottom w:w="0" w:type="dxa"/>
              <w:right w:w="108" w:type="dxa"/>
            </w:tcMar>
            <w:vAlign w:val="center"/>
          </w:tcPr>
          <w:p w14:paraId="17DE5E41" w14:textId="77777777" w:rsidR="00055BFC" w:rsidRPr="00487076" w:rsidRDefault="00055BFC" w:rsidP="00B92127">
            <w:pPr>
              <w:spacing w:line="240" w:lineRule="auto"/>
              <w:rPr>
                <w:rFonts w:eastAsia="Times New Roman"/>
                <w:b/>
                <w:bCs/>
                <w:color w:val="000000"/>
                <w:sz w:val="18"/>
                <w:szCs w:val="18"/>
              </w:rPr>
            </w:pPr>
            <w:r>
              <w:rPr>
                <w:b/>
                <w:color w:val="000000"/>
                <w:sz w:val="18"/>
              </w:rPr>
              <w:t>Распределение досье по расследованиям, проведенным третьими сторонами, одобренных УАР:</w:t>
            </w:r>
          </w:p>
        </w:tc>
      </w:tr>
      <w:tr w:rsidR="00055BFC" w:rsidRPr="00487076" w14:paraId="448E74D6" w14:textId="77777777" w:rsidTr="00B92127">
        <w:trPr>
          <w:trHeight w:val="266"/>
          <w:jc w:val="center"/>
        </w:trPr>
        <w:tc>
          <w:tcPr>
            <w:tcW w:w="5670" w:type="dxa"/>
            <w:shd w:val="clear" w:color="auto" w:fill="FFFFFF"/>
            <w:noWrap/>
            <w:tcMar>
              <w:top w:w="0" w:type="dxa"/>
              <w:left w:w="108" w:type="dxa"/>
              <w:bottom w:w="0" w:type="dxa"/>
              <w:right w:w="108" w:type="dxa"/>
            </w:tcMar>
            <w:vAlign w:val="center"/>
          </w:tcPr>
          <w:p w14:paraId="52BE963B" w14:textId="77777777" w:rsidR="00055BFC" w:rsidRPr="00487076" w:rsidRDefault="00055BFC" w:rsidP="00B92127">
            <w:pPr>
              <w:spacing w:line="240" w:lineRule="auto"/>
              <w:ind w:firstLine="330"/>
              <w:rPr>
                <w:rFonts w:eastAsia="Times New Roman"/>
                <w:color w:val="000000"/>
                <w:sz w:val="18"/>
                <w:szCs w:val="18"/>
              </w:rPr>
            </w:pPr>
            <w:r>
              <w:rPr>
                <w:color w:val="000000"/>
                <w:sz w:val="18"/>
              </w:rPr>
              <w:t>Предоставлен в юридический отдел</w:t>
            </w:r>
          </w:p>
        </w:tc>
        <w:tc>
          <w:tcPr>
            <w:tcW w:w="1710" w:type="dxa"/>
            <w:shd w:val="clear" w:color="auto" w:fill="FFFFFF"/>
            <w:noWrap/>
            <w:tcMar>
              <w:top w:w="0" w:type="dxa"/>
              <w:left w:w="108" w:type="dxa"/>
              <w:bottom w:w="0" w:type="dxa"/>
              <w:right w:w="108" w:type="dxa"/>
            </w:tcMar>
            <w:vAlign w:val="center"/>
          </w:tcPr>
          <w:p w14:paraId="7496497F" w14:textId="77777777" w:rsidR="00055BFC" w:rsidRPr="00487076" w:rsidRDefault="00055BFC" w:rsidP="00B92127">
            <w:pPr>
              <w:spacing w:line="240" w:lineRule="auto"/>
              <w:jc w:val="center"/>
              <w:rPr>
                <w:rFonts w:eastAsia="Times New Roman"/>
                <w:color w:val="000000"/>
                <w:sz w:val="18"/>
                <w:szCs w:val="18"/>
              </w:rPr>
            </w:pPr>
            <w:r>
              <w:rPr>
                <w:color w:val="000000"/>
                <w:sz w:val="18"/>
              </w:rPr>
              <w:t>3</w:t>
            </w:r>
          </w:p>
        </w:tc>
      </w:tr>
      <w:tr w:rsidR="00055BFC" w:rsidRPr="00487076" w14:paraId="679C83FE" w14:textId="77777777" w:rsidTr="00B92127">
        <w:trPr>
          <w:trHeight w:val="266"/>
          <w:jc w:val="center"/>
        </w:trPr>
        <w:tc>
          <w:tcPr>
            <w:tcW w:w="5670" w:type="dxa"/>
            <w:shd w:val="clear" w:color="auto" w:fill="FFFFFF"/>
            <w:noWrap/>
            <w:tcMar>
              <w:top w:w="0" w:type="dxa"/>
              <w:left w:w="108" w:type="dxa"/>
              <w:bottom w:w="0" w:type="dxa"/>
              <w:right w:w="108" w:type="dxa"/>
            </w:tcMar>
            <w:vAlign w:val="center"/>
          </w:tcPr>
          <w:p w14:paraId="28251E92" w14:textId="77777777" w:rsidR="00055BFC" w:rsidRPr="00487076" w:rsidRDefault="00055BFC" w:rsidP="00B92127">
            <w:pPr>
              <w:spacing w:line="240" w:lineRule="auto"/>
              <w:rPr>
                <w:rFonts w:eastAsia="Times New Roman"/>
                <w:b/>
                <w:bCs/>
                <w:i/>
                <w:iCs/>
                <w:color w:val="000000"/>
                <w:sz w:val="18"/>
                <w:szCs w:val="18"/>
              </w:rPr>
            </w:pPr>
            <w:proofErr w:type="spellStart"/>
            <w:r>
              <w:rPr>
                <w:b/>
                <w:i/>
                <w:color w:val="000000"/>
                <w:sz w:val="18"/>
              </w:rPr>
              <w:t>Подытог</w:t>
            </w:r>
            <w:proofErr w:type="spellEnd"/>
          </w:p>
        </w:tc>
        <w:tc>
          <w:tcPr>
            <w:tcW w:w="1710" w:type="dxa"/>
            <w:shd w:val="clear" w:color="auto" w:fill="FFFFFF"/>
            <w:noWrap/>
            <w:tcMar>
              <w:top w:w="0" w:type="dxa"/>
              <w:left w:w="108" w:type="dxa"/>
              <w:bottom w:w="0" w:type="dxa"/>
              <w:right w:w="108" w:type="dxa"/>
            </w:tcMar>
            <w:vAlign w:val="center"/>
          </w:tcPr>
          <w:p w14:paraId="33127EF0" w14:textId="77777777" w:rsidR="00055BFC" w:rsidRPr="00487076" w:rsidRDefault="00055BFC" w:rsidP="00B92127">
            <w:pPr>
              <w:spacing w:line="240" w:lineRule="auto"/>
              <w:jc w:val="center"/>
              <w:rPr>
                <w:rFonts w:eastAsia="Times New Roman"/>
                <w:b/>
                <w:bCs/>
                <w:i/>
                <w:iCs/>
                <w:color w:val="000000"/>
                <w:sz w:val="18"/>
                <w:szCs w:val="18"/>
              </w:rPr>
            </w:pPr>
            <w:r>
              <w:rPr>
                <w:b/>
                <w:i/>
                <w:color w:val="000000"/>
                <w:sz w:val="18"/>
              </w:rPr>
              <w:t>24</w:t>
            </w:r>
          </w:p>
        </w:tc>
      </w:tr>
      <w:tr w:rsidR="00055BFC" w:rsidRPr="00487076" w14:paraId="32A33C25" w14:textId="77777777" w:rsidTr="00B92127">
        <w:trPr>
          <w:trHeight w:val="266"/>
          <w:jc w:val="center"/>
        </w:trPr>
        <w:tc>
          <w:tcPr>
            <w:tcW w:w="7380" w:type="dxa"/>
            <w:gridSpan w:val="2"/>
            <w:shd w:val="clear" w:color="auto" w:fill="F2F2F2"/>
            <w:noWrap/>
            <w:tcMar>
              <w:top w:w="0" w:type="dxa"/>
              <w:left w:w="108" w:type="dxa"/>
              <w:bottom w:w="0" w:type="dxa"/>
              <w:right w:w="108" w:type="dxa"/>
            </w:tcMar>
            <w:vAlign w:val="center"/>
            <w:hideMark/>
          </w:tcPr>
          <w:p w14:paraId="7A809A0F" w14:textId="77777777" w:rsidR="00055BFC" w:rsidRPr="00487076" w:rsidRDefault="00055BFC" w:rsidP="00B92127">
            <w:pPr>
              <w:keepNext/>
              <w:spacing w:line="240" w:lineRule="auto"/>
              <w:rPr>
                <w:rFonts w:eastAsia="Times New Roman"/>
                <w:color w:val="222222"/>
              </w:rPr>
            </w:pPr>
            <w:r>
              <w:rPr>
                <w:b/>
                <w:color w:val="000000"/>
                <w:sz w:val="18"/>
              </w:rPr>
              <w:t>Распределение расследований с неподтвержденными обвинениями посредством отчетов о закрытии расследований</w:t>
            </w:r>
          </w:p>
        </w:tc>
      </w:tr>
      <w:tr w:rsidR="00055BFC" w:rsidRPr="00487076" w14:paraId="4ECEF224" w14:textId="77777777" w:rsidTr="00B92127">
        <w:trPr>
          <w:trHeight w:val="266"/>
          <w:jc w:val="center"/>
        </w:trPr>
        <w:tc>
          <w:tcPr>
            <w:tcW w:w="5670" w:type="dxa"/>
            <w:shd w:val="clear" w:color="auto" w:fill="FFFFFF"/>
            <w:noWrap/>
            <w:tcMar>
              <w:top w:w="0" w:type="dxa"/>
              <w:left w:w="108" w:type="dxa"/>
              <w:bottom w:w="0" w:type="dxa"/>
              <w:right w:w="108" w:type="dxa"/>
            </w:tcMar>
            <w:vAlign w:val="center"/>
            <w:hideMark/>
          </w:tcPr>
          <w:p w14:paraId="3B47134F" w14:textId="77777777" w:rsidR="00055BFC" w:rsidRPr="00487076" w:rsidRDefault="00055BFC" w:rsidP="00B92127">
            <w:pPr>
              <w:keepNext/>
              <w:spacing w:line="240" w:lineRule="auto"/>
              <w:ind w:left="330"/>
              <w:rPr>
                <w:rFonts w:eastAsia="Times New Roman"/>
                <w:color w:val="222222"/>
              </w:rPr>
            </w:pPr>
            <w:r>
              <w:rPr>
                <w:color w:val="222222"/>
                <w:sz w:val="18"/>
              </w:rPr>
              <w:t>Предоставлен в Бюро по вопросам этики (преследование)</w:t>
            </w:r>
          </w:p>
        </w:tc>
        <w:tc>
          <w:tcPr>
            <w:tcW w:w="1710" w:type="dxa"/>
            <w:shd w:val="clear" w:color="auto" w:fill="FFFFFF"/>
            <w:noWrap/>
            <w:tcMar>
              <w:top w:w="0" w:type="dxa"/>
              <w:left w:w="108" w:type="dxa"/>
              <w:bottom w:w="0" w:type="dxa"/>
              <w:right w:w="108" w:type="dxa"/>
            </w:tcMar>
            <w:vAlign w:val="center"/>
            <w:hideMark/>
          </w:tcPr>
          <w:p w14:paraId="30BC9C8F" w14:textId="77777777" w:rsidR="00055BFC" w:rsidRPr="00487076" w:rsidRDefault="00055BFC" w:rsidP="00B92127">
            <w:pPr>
              <w:spacing w:line="240" w:lineRule="auto"/>
              <w:jc w:val="center"/>
              <w:rPr>
                <w:rFonts w:eastAsia="Times New Roman"/>
                <w:color w:val="222222"/>
              </w:rPr>
            </w:pPr>
            <w:r>
              <w:rPr>
                <w:color w:val="222222"/>
                <w:sz w:val="18"/>
              </w:rPr>
              <w:t>2</w:t>
            </w:r>
          </w:p>
        </w:tc>
      </w:tr>
      <w:tr w:rsidR="00055BFC" w:rsidRPr="00487076" w14:paraId="2D9CEA29" w14:textId="77777777" w:rsidTr="00B92127">
        <w:trPr>
          <w:trHeight w:val="266"/>
          <w:jc w:val="center"/>
        </w:trPr>
        <w:tc>
          <w:tcPr>
            <w:tcW w:w="5670" w:type="dxa"/>
            <w:shd w:val="clear" w:color="auto" w:fill="FFFFFF"/>
            <w:noWrap/>
            <w:tcMar>
              <w:top w:w="0" w:type="dxa"/>
              <w:left w:w="108" w:type="dxa"/>
              <w:bottom w:w="0" w:type="dxa"/>
              <w:right w:w="108" w:type="dxa"/>
            </w:tcMar>
            <w:vAlign w:val="center"/>
            <w:hideMark/>
          </w:tcPr>
          <w:p w14:paraId="742C20E6" w14:textId="77777777" w:rsidR="00055BFC" w:rsidRPr="00487076" w:rsidRDefault="00055BFC" w:rsidP="00B92127">
            <w:pPr>
              <w:spacing w:line="240" w:lineRule="auto"/>
              <w:ind w:left="330"/>
              <w:rPr>
                <w:rFonts w:eastAsia="Times New Roman"/>
                <w:color w:val="222222"/>
              </w:rPr>
            </w:pPr>
            <w:r>
              <w:rPr>
                <w:color w:val="000000"/>
                <w:sz w:val="18"/>
              </w:rPr>
              <w:t>Обвинение не подтвердилось / поведение не достигло порога или определения, предусмотренного политикой</w:t>
            </w:r>
          </w:p>
        </w:tc>
        <w:tc>
          <w:tcPr>
            <w:tcW w:w="1710" w:type="dxa"/>
            <w:shd w:val="clear" w:color="auto" w:fill="FFFFFF"/>
            <w:noWrap/>
            <w:tcMar>
              <w:top w:w="0" w:type="dxa"/>
              <w:left w:w="108" w:type="dxa"/>
              <w:bottom w:w="0" w:type="dxa"/>
              <w:right w:w="108" w:type="dxa"/>
            </w:tcMar>
            <w:vAlign w:val="center"/>
            <w:hideMark/>
          </w:tcPr>
          <w:p w14:paraId="5BF6FEE1" w14:textId="77777777" w:rsidR="00055BFC" w:rsidRPr="00487076" w:rsidRDefault="00055BFC" w:rsidP="00B92127">
            <w:pPr>
              <w:spacing w:line="240" w:lineRule="auto"/>
              <w:jc w:val="center"/>
              <w:rPr>
                <w:rFonts w:eastAsia="Times New Roman"/>
                <w:color w:val="222222"/>
              </w:rPr>
            </w:pPr>
            <w:r>
              <w:rPr>
                <w:color w:val="000000"/>
                <w:sz w:val="18"/>
              </w:rPr>
              <w:t>10</w:t>
            </w:r>
          </w:p>
        </w:tc>
      </w:tr>
      <w:tr w:rsidR="00055BFC" w:rsidRPr="00487076" w14:paraId="1392C3DB" w14:textId="77777777" w:rsidTr="00B92127">
        <w:trPr>
          <w:trHeight w:val="266"/>
          <w:jc w:val="center"/>
        </w:trPr>
        <w:tc>
          <w:tcPr>
            <w:tcW w:w="5670" w:type="dxa"/>
            <w:shd w:val="clear" w:color="auto" w:fill="FFFFFF"/>
            <w:noWrap/>
            <w:tcMar>
              <w:top w:w="0" w:type="dxa"/>
              <w:left w:w="108" w:type="dxa"/>
              <w:bottom w:w="0" w:type="dxa"/>
              <w:right w:w="108" w:type="dxa"/>
            </w:tcMar>
            <w:vAlign w:val="center"/>
          </w:tcPr>
          <w:p w14:paraId="77CFFA5D" w14:textId="77777777" w:rsidR="00055BFC" w:rsidRPr="00487076" w:rsidRDefault="00055BFC" w:rsidP="00B92127">
            <w:pPr>
              <w:spacing w:line="240" w:lineRule="auto"/>
              <w:rPr>
                <w:rFonts w:eastAsia="Times New Roman"/>
                <w:b/>
                <w:bCs/>
                <w:i/>
                <w:iCs/>
                <w:color w:val="000000"/>
                <w:sz w:val="18"/>
                <w:szCs w:val="18"/>
              </w:rPr>
            </w:pPr>
            <w:proofErr w:type="spellStart"/>
            <w:r>
              <w:rPr>
                <w:b/>
                <w:i/>
                <w:color w:val="000000"/>
                <w:sz w:val="18"/>
              </w:rPr>
              <w:t>Подытог</w:t>
            </w:r>
            <w:proofErr w:type="spellEnd"/>
          </w:p>
        </w:tc>
        <w:tc>
          <w:tcPr>
            <w:tcW w:w="1710" w:type="dxa"/>
            <w:shd w:val="clear" w:color="auto" w:fill="FFFFFF"/>
            <w:noWrap/>
            <w:tcMar>
              <w:top w:w="0" w:type="dxa"/>
              <w:left w:w="108" w:type="dxa"/>
              <w:bottom w:w="0" w:type="dxa"/>
              <w:right w:w="108" w:type="dxa"/>
            </w:tcMar>
            <w:vAlign w:val="center"/>
          </w:tcPr>
          <w:p w14:paraId="00C4A8F7" w14:textId="77777777" w:rsidR="00055BFC" w:rsidRPr="00487076" w:rsidRDefault="00055BFC" w:rsidP="00B92127">
            <w:pPr>
              <w:spacing w:line="240" w:lineRule="auto"/>
              <w:jc w:val="center"/>
              <w:rPr>
                <w:rFonts w:eastAsia="Times New Roman"/>
                <w:b/>
                <w:bCs/>
                <w:i/>
                <w:iCs/>
                <w:color w:val="000000"/>
                <w:sz w:val="18"/>
                <w:szCs w:val="18"/>
              </w:rPr>
            </w:pPr>
            <w:r>
              <w:rPr>
                <w:b/>
                <w:i/>
                <w:color w:val="000000"/>
                <w:sz w:val="18"/>
              </w:rPr>
              <w:t>12</w:t>
            </w:r>
          </w:p>
        </w:tc>
      </w:tr>
      <w:tr w:rsidR="00055BFC" w:rsidRPr="00487076" w14:paraId="4050085B" w14:textId="77777777" w:rsidTr="00B92127">
        <w:trPr>
          <w:trHeight w:val="266"/>
          <w:jc w:val="center"/>
        </w:trPr>
        <w:tc>
          <w:tcPr>
            <w:tcW w:w="5670" w:type="dxa"/>
            <w:shd w:val="clear" w:color="auto" w:fill="F2F2F2"/>
            <w:noWrap/>
            <w:tcMar>
              <w:top w:w="0" w:type="dxa"/>
              <w:left w:w="108" w:type="dxa"/>
              <w:bottom w:w="0" w:type="dxa"/>
              <w:right w:w="108" w:type="dxa"/>
            </w:tcMar>
            <w:vAlign w:val="center"/>
            <w:hideMark/>
          </w:tcPr>
          <w:p w14:paraId="00705DEA" w14:textId="77777777" w:rsidR="00055BFC" w:rsidRPr="00487076" w:rsidRDefault="00055BFC" w:rsidP="00B92127">
            <w:pPr>
              <w:spacing w:line="240" w:lineRule="auto"/>
              <w:rPr>
                <w:rFonts w:eastAsia="Times New Roman"/>
                <w:color w:val="222222"/>
              </w:rPr>
            </w:pPr>
            <w:r>
              <w:rPr>
                <w:b/>
                <w:color w:val="000000"/>
                <w:sz w:val="18"/>
              </w:rPr>
              <w:t xml:space="preserve">Итого, часть 1 </w:t>
            </w:r>
          </w:p>
        </w:tc>
        <w:tc>
          <w:tcPr>
            <w:tcW w:w="1710" w:type="dxa"/>
            <w:shd w:val="clear" w:color="auto" w:fill="F2F2F2"/>
            <w:noWrap/>
            <w:tcMar>
              <w:top w:w="0" w:type="dxa"/>
              <w:left w:w="108" w:type="dxa"/>
              <w:bottom w:w="0" w:type="dxa"/>
              <w:right w:w="108" w:type="dxa"/>
            </w:tcMar>
            <w:vAlign w:val="center"/>
            <w:hideMark/>
          </w:tcPr>
          <w:p w14:paraId="71CF7F35" w14:textId="77777777" w:rsidR="00055BFC" w:rsidRPr="00487076" w:rsidRDefault="00055BFC" w:rsidP="00B92127">
            <w:pPr>
              <w:spacing w:line="240" w:lineRule="auto"/>
              <w:jc w:val="center"/>
              <w:rPr>
                <w:rFonts w:eastAsia="Times New Roman"/>
                <w:color w:val="222222"/>
              </w:rPr>
            </w:pPr>
            <w:r>
              <w:rPr>
                <w:b/>
                <w:color w:val="000000"/>
                <w:sz w:val="18"/>
              </w:rPr>
              <w:t>36</w:t>
            </w:r>
          </w:p>
        </w:tc>
      </w:tr>
      <w:tr w:rsidR="00055BFC" w:rsidRPr="00487076" w14:paraId="3902593F" w14:textId="77777777" w:rsidTr="00B92127">
        <w:trPr>
          <w:trHeight w:val="266"/>
          <w:jc w:val="center"/>
        </w:trPr>
        <w:tc>
          <w:tcPr>
            <w:tcW w:w="5670" w:type="dxa"/>
            <w:shd w:val="clear" w:color="auto" w:fill="F2F2F2"/>
            <w:noWrap/>
            <w:tcMar>
              <w:top w:w="0" w:type="dxa"/>
              <w:left w:w="108" w:type="dxa"/>
              <w:bottom w:w="0" w:type="dxa"/>
              <w:right w:w="108" w:type="dxa"/>
            </w:tcMar>
            <w:vAlign w:val="center"/>
          </w:tcPr>
          <w:p w14:paraId="595D6EA3" w14:textId="77777777" w:rsidR="00055BFC" w:rsidRPr="00487076" w:rsidRDefault="00055BFC" w:rsidP="00B92127">
            <w:pPr>
              <w:spacing w:line="240" w:lineRule="auto"/>
              <w:rPr>
                <w:rFonts w:eastAsia="Times New Roman"/>
                <w:b/>
                <w:bCs/>
                <w:color w:val="000000"/>
                <w:sz w:val="18"/>
                <w:szCs w:val="18"/>
              </w:rPr>
            </w:pPr>
            <w:r>
              <w:rPr>
                <w:b/>
                <w:color w:val="000000"/>
                <w:sz w:val="18"/>
              </w:rPr>
              <w:t xml:space="preserve">ЧАСТЬ 2. ДЕЛА, ЗАКРЫТЫЕ ПОСЛЕ ПРЕДВАРИТЕЛЬНОЙ ОЦЕНКИ </w:t>
            </w:r>
          </w:p>
        </w:tc>
        <w:tc>
          <w:tcPr>
            <w:tcW w:w="1710" w:type="dxa"/>
            <w:shd w:val="clear" w:color="auto" w:fill="F2F2F2"/>
            <w:noWrap/>
            <w:tcMar>
              <w:top w:w="0" w:type="dxa"/>
              <w:left w:w="108" w:type="dxa"/>
              <w:bottom w:w="0" w:type="dxa"/>
              <w:right w:w="108" w:type="dxa"/>
            </w:tcMar>
            <w:vAlign w:val="center"/>
          </w:tcPr>
          <w:p w14:paraId="706A4C69" w14:textId="77777777" w:rsidR="00055BFC" w:rsidRPr="00487076" w:rsidRDefault="00055BFC" w:rsidP="00B92127">
            <w:pPr>
              <w:spacing w:line="240" w:lineRule="auto"/>
              <w:jc w:val="center"/>
              <w:rPr>
                <w:rFonts w:eastAsia="Times New Roman"/>
                <w:b/>
                <w:bCs/>
                <w:color w:val="000000"/>
                <w:sz w:val="18"/>
                <w:szCs w:val="18"/>
              </w:rPr>
            </w:pPr>
          </w:p>
        </w:tc>
      </w:tr>
      <w:tr w:rsidR="00055BFC" w:rsidRPr="00487076" w14:paraId="5B73A9A9" w14:textId="77777777" w:rsidTr="00B92127">
        <w:trPr>
          <w:trHeight w:val="266"/>
          <w:jc w:val="center"/>
        </w:trPr>
        <w:tc>
          <w:tcPr>
            <w:tcW w:w="5670" w:type="dxa"/>
            <w:shd w:val="clear" w:color="auto" w:fill="FFFFFF"/>
            <w:noWrap/>
            <w:tcMar>
              <w:top w:w="0" w:type="dxa"/>
              <w:left w:w="108" w:type="dxa"/>
              <w:bottom w:w="0" w:type="dxa"/>
              <w:right w:w="108" w:type="dxa"/>
            </w:tcMar>
            <w:vAlign w:val="center"/>
            <w:hideMark/>
          </w:tcPr>
          <w:p w14:paraId="2A269E87" w14:textId="77777777" w:rsidR="00055BFC" w:rsidRPr="00487076" w:rsidRDefault="00055BFC" w:rsidP="00B92127">
            <w:pPr>
              <w:spacing w:line="240" w:lineRule="auto"/>
              <w:ind w:left="330"/>
              <w:rPr>
                <w:rFonts w:eastAsia="Times New Roman"/>
                <w:color w:val="222222"/>
              </w:rPr>
            </w:pPr>
            <w:r>
              <w:rPr>
                <w:color w:val="000000"/>
                <w:sz w:val="18"/>
              </w:rPr>
              <w:t>Служебные записки по итогам предварительной оценки под руководством УАР</w:t>
            </w:r>
          </w:p>
        </w:tc>
        <w:tc>
          <w:tcPr>
            <w:tcW w:w="1710" w:type="dxa"/>
            <w:shd w:val="clear" w:color="auto" w:fill="FFFFFF"/>
            <w:noWrap/>
            <w:tcMar>
              <w:top w:w="0" w:type="dxa"/>
              <w:left w:w="108" w:type="dxa"/>
              <w:bottom w:w="0" w:type="dxa"/>
              <w:right w:w="108" w:type="dxa"/>
            </w:tcMar>
            <w:vAlign w:val="center"/>
            <w:hideMark/>
          </w:tcPr>
          <w:p w14:paraId="269C7650" w14:textId="77777777" w:rsidR="00055BFC" w:rsidRPr="00487076" w:rsidRDefault="00055BFC" w:rsidP="00B92127">
            <w:pPr>
              <w:spacing w:line="240" w:lineRule="auto"/>
              <w:jc w:val="center"/>
              <w:rPr>
                <w:rFonts w:eastAsia="Times New Roman"/>
                <w:color w:val="222222"/>
              </w:rPr>
            </w:pPr>
            <w:r>
              <w:rPr>
                <w:color w:val="000000"/>
                <w:sz w:val="18"/>
              </w:rPr>
              <w:t>118</w:t>
            </w:r>
          </w:p>
        </w:tc>
      </w:tr>
      <w:tr w:rsidR="00055BFC" w:rsidRPr="00487076" w14:paraId="04723DC7" w14:textId="77777777" w:rsidTr="00B92127">
        <w:trPr>
          <w:trHeight w:val="266"/>
          <w:jc w:val="center"/>
        </w:trPr>
        <w:tc>
          <w:tcPr>
            <w:tcW w:w="5670" w:type="dxa"/>
            <w:shd w:val="clear" w:color="auto" w:fill="FFFFFF"/>
            <w:noWrap/>
            <w:tcMar>
              <w:top w:w="0" w:type="dxa"/>
              <w:left w:w="108" w:type="dxa"/>
              <w:bottom w:w="0" w:type="dxa"/>
              <w:right w:w="108" w:type="dxa"/>
            </w:tcMar>
            <w:vAlign w:val="center"/>
          </w:tcPr>
          <w:p w14:paraId="7F40A6FC" w14:textId="77777777" w:rsidR="00055BFC" w:rsidRPr="00487076" w:rsidRDefault="00055BFC" w:rsidP="00B92127">
            <w:pPr>
              <w:spacing w:line="240" w:lineRule="auto"/>
              <w:ind w:left="330"/>
              <w:rPr>
                <w:rFonts w:eastAsia="Times New Roman"/>
                <w:b/>
                <w:bCs/>
                <w:color w:val="000000"/>
                <w:sz w:val="18"/>
                <w:szCs w:val="18"/>
              </w:rPr>
            </w:pPr>
            <w:r>
              <w:rPr>
                <w:color w:val="000000"/>
                <w:sz w:val="18"/>
              </w:rPr>
              <w:t>Досье третьих сторон, не одобренные и закрытые на основании служебной записки</w:t>
            </w:r>
          </w:p>
        </w:tc>
        <w:tc>
          <w:tcPr>
            <w:tcW w:w="1710" w:type="dxa"/>
            <w:shd w:val="clear" w:color="auto" w:fill="FFFFFF"/>
            <w:noWrap/>
            <w:tcMar>
              <w:top w:w="0" w:type="dxa"/>
              <w:left w:w="108" w:type="dxa"/>
              <w:bottom w:w="0" w:type="dxa"/>
              <w:right w:w="108" w:type="dxa"/>
            </w:tcMar>
            <w:vAlign w:val="center"/>
          </w:tcPr>
          <w:p w14:paraId="6E5315A5" w14:textId="77777777" w:rsidR="00055BFC" w:rsidRPr="00487076" w:rsidRDefault="00055BFC" w:rsidP="00B92127">
            <w:pPr>
              <w:spacing w:line="240" w:lineRule="auto"/>
              <w:jc w:val="center"/>
              <w:rPr>
                <w:rFonts w:eastAsia="Times New Roman"/>
                <w:color w:val="000000"/>
                <w:sz w:val="18"/>
                <w:szCs w:val="18"/>
              </w:rPr>
            </w:pPr>
            <w:r>
              <w:rPr>
                <w:color w:val="000000"/>
                <w:sz w:val="18"/>
              </w:rPr>
              <w:t>11</w:t>
            </w:r>
          </w:p>
        </w:tc>
      </w:tr>
      <w:tr w:rsidR="00055BFC" w:rsidRPr="00487076" w14:paraId="008885BC" w14:textId="77777777" w:rsidTr="00B92127">
        <w:trPr>
          <w:trHeight w:val="266"/>
          <w:jc w:val="center"/>
        </w:trPr>
        <w:tc>
          <w:tcPr>
            <w:tcW w:w="5670" w:type="dxa"/>
            <w:shd w:val="clear" w:color="auto" w:fill="F2F2F2" w:themeFill="background1" w:themeFillShade="F2"/>
            <w:noWrap/>
            <w:tcMar>
              <w:top w:w="0" w:type="dxa"/>
              <w:left w:w="108" w:type="dxa"/>
              <w:bottom w:w="0" w:type="dxa"/>
              <w:right w:w="108" w:type="dxa"/>
            </w:tcMar>
            <w:vAlign w:val="center"/>
          </w:tcPr>
          <w:p w14:paraId="2DB89EE3" w14:textId="77777777" w:rsidR="00055BFC" w:rsidRPr="00487076" w:rsidRDefault="00055BFC" w:rsidP="00B92127">
            <w:pPr>
              <w:spacing w:line="240" w:lineRule="auto"/>
              <w:rPr>
                <w:rFonts w:eastAsia="Times New Roman"/>
                <w:b/>
                <w:bCs/>
                <w:color w:val="222222"/>
                <w:sz w:val="18"/>
                <w:szCs w:val="18"/>
              </w:rPr>
            </w:pPr>
            <w:r>
              <w:rPr>
                <w:b/>
                <w:color w:val="000000"/>
                <w:sz w:val="18"/>
              </w:rPr>
              <w:t>Итого, часть 2</w:t>
            </w:r>
          </w:p>
        </w:tc>
        <w:tc>
          <w:tcPr>
            <w:tcW w:w="1710" w:type="dxa"/>
            <w:shd w:val="clear" w:color="auto" w:fill="F2F2F2" w:themeFill="background1" w:themeFillShade="F2"/>
            <w:noWrap/>
            <w:tcMar>
              <w:top w:w="0" w:type="dxa"/>
              <w:left w:w="108" w:type="dxa"/>
              <w:bottom w:w="0" w:type="dxa"/>
              <w:right w:w="108" w:type="dxa"/>
            </w:tcMar>
            <w:vAlign w:val="center"/>
          </w:tcPr>
          <w:p w14:paraId="1EB428A8" w14:textId="77777777" w:rsidR="00055BFC" w:rsidRPr="00487076" w:rsidRDefault="00055BFC" w:rsidP="00B92127">
            <w:pPr>
              <w:spacing w:line="240" w:lineRule="auto"/>
              <w:jc w:val="center"/>
              <w:rPr>
                <w:rFonts w:eastAsia="Times New Roman"/>
                <w:b/>
                <w:bCs/>
                <w:color w:val="000000"/>
                <w:sz w:val="18"/>
                <w:szCs w:val="18"/>
              </w:rPr>
            </w:pPr>
            <w:r>
              <w:rPr>
                <w:b/>
                <w:color w:val="000000"/>
                <w:sz w:val="18"/>
              </w:rPr>
              <w:t>129</w:t>
            </w:r>
          </w:p>
        </w:tc>
      </w:tr>
      <w:tr w:rsidR="00055BFC" w:rsidRPr="00487076" w14:paraId="2BE510B9" w14:textId="77777777" w:rsidTr="00B92127">
        <w:trPr>
          <w:trHeight w:val="266"/>
          <w:jc w:val="center"/>
        </w:trPr>
        <w:tc>
          <w:tcPr>
            <w:tcW w:w="5670" w:type="dxa"/>
            <w:shd w:val="clear" w:color="auto" w:fill="F2F2F2"/>
            <w:noWrap/>
            <w:tcMar>
              <w:top w:w="0" w:type="dxa"/>
              <w:left w:w="108" w:type="dxa"/>
              <w:bottom w:w="0" w:type="dxa"/>
              <w:right w:w="108" w:type="dxa"/>
            </w:tcMar>
            <w:vAlign w:val="center"/>
            <w:hideMark/>
          </w:tcPr>
          <w:p w14:paraId="107F2277" w14:textId="77777777" w:rsidR="00055BFC" w:rsidRPr="00487076" w:rsidRDefault="00055BFC" w:rsidP="00B92127">
            <w:pPr>
              <w:spacing w:line="240" w:lineRule="auto"/>
              <w:rPr>
                <w:rFonts w:eastAsia="Times New Roman"/>
                <w:color w:val="222222"/>
              </w:rPr>
            </w:pPr>
            <w:r>
              <w:rPr>
                <w:b/>
                <w:color w:val="000000"/>
                <w:sz w:val="18"/>
              </w:rPr>
              <w:t>Итого закрытых дел в 2024 году</w:t>
            </w:r>
          </w:p>
        </w:tc>
        <w:tc>
          <w:tcPr>
            <w:tcW w:w="1710" w:type="dxa"/>
            <w:shd w:val="clear" w:color="auto" w:fill="F2F2F2"/>
            <w:noWrap/>
            <w:tcMar>
              <w:top w:w="0" w:type="dxa"/>
              <w:left w:w="108" w:type="dxa"/>
              <w:bottom w:w="0" w:type="dxa"/>
              <w:right w:w="108" w:type="dxa"/>
            </w:tcMar>
            <w:vAlign w:val="center"/>
            <w:hideMark/>
          </w:tcPr>
          <w:p w14:paraId="7859E64D" w14:textId="77777777" w:rsidR="00055BFC" w:rsidRPr="00487076" w:rsidRDefault="00055BFC" w:rsidP="00B92127">
            <w:pPr>
              <w:spacing w:line="240" w:lineRule="auto"/>
              <w:jc w:val="center"/>
              <w:rPr>
                <w:rFonts w:eastAsia="Times New Roman"/>
                <w:color w:val="222222"/>
              </w:rPr>
            </w:pPr>
            <w:r>
              <w:rPr>
                <w:b/>
                <w:color w:val="000000"/>
                <w:sz w:val="18"/>
              </w:rPr>
              <w:t>165</w:t>
            </w:r>
          </w:p>
        </w:tc>
      </w:tr>
      <w:tr w:rsidR="00055BFC" w:rsidRPr="00487076" w14:paraId="649AE53F" w14:textId="77777777" w:rsidTr="00B92127">
        <w:trPr>
          <w:trHeight w:val="266"/>
          <w:jc w:val="center"/>
        </w:trPr>
        <w:tc>
          <w:tcPr>
            <w:tcW w:w="5670" w:type="dxa"/>
            <w:shd w:val="clear" w:color="auto" w:fill="F2F2F2"/>
            <w:noWrap/>
            <w:tcMar>
              <w:top w:w="0" w:type="dxa"/>
              <w:left w:w="108" w:type="dxa"/>
              <w:bottom w:w="0" w:type="dxa"/>
              <w:right w:w="108" w:type="dxa"/>
            </w:tcMar>
            <w:vAlign w:val="center"/>
            <w:hideMark/>
          </w:tcPr>
          <w:p w14:paraId="0DBF44EE" w14:textId="77777777" w:rsidR="00055BFC" w:rsidRPr="00487076" w:rsidRDefault="00055BFC" w:rsidP="00B92127">
            <w:pPr>
              <w:spacing w:line="240" w:lineRule="auto"/>
              <w:rPr>
                <w:rFonts w:eastAsia="Times New Roman"/>
                <w:color w:val="222222"/>
              </w:rPr>
            </w:pPr>
            <w:r>
              <w:rPr>
                <w:color w:val="000000"/>
                <w:sz w:val="18"/>
              </w:rPr>
              <w:t>Уведомления/консультационные меморандумы в другие внутренние/внешние отделы</w:t>
            </w:r>
          </w:p>
        </w:tc>
        <w:tc>
          <w:tcPr>
            <w:tcW w:w="1710" w:type="dxa"/>
            <w:shd w:val="clear" w:color="auto" w:fill="F2F2F2"/>
            <w:noWrap/>
            <w:tcMar>
              <w:top w:w="0" w:type="dxa"/>
              <w:left w:w="108" w:type="dxa"/>
              <w:bottom w:w="0" w:type="dxa"/>
              <w:right w:w="108" w:type="dxa"/>
            </w:tcMar>
            <w:vAlign w:val="center"/>
            <w:hideMark/>
          </w:tcPr>
          <w:p w14:paraId="7DC40904" w14:textId="77777777" w:rsidR="00055BFC" w:rsidRPr="00487076" w:rsidRDefault="00055BFC" w:rsidP="00B92127">
            <w:pPr>
              <w:spacing w:line="240" w:lineRule="auto"/>
              <w:jc w:val="center"/>
              <w:rPr>
                <w:rFonts w:eastAsia="Times New Roman"/>
                <w:color w:val="222222"/>
              </w:rPr>
            </w:pPr>
            <w:r>
              <w:rPr>
                <w:color w:val="000000"/>
                <w:sz w:val="18"/>
              </w:rPr>
              <w:t>17*</w:t>
            </w:r>
          </w:p>
        </w:tc>
      </w:tr>
      <w:tr w:rsidR="00055BFC" w:rsidRPr="00487076" w14:paraId="795EAD07" w14:textId="77777777" w:rsidTr="00B92127">
        <w:trPr>
          <w:trHeight w:val="266"/>
          <w:jc w:val="center"/>
        </w:trPr>
        <w:tc>
          <w:tcPr>
            <w:tcW w:w="7380" w:type="dxa"/>
            <w:gridSpan w:val="2"/>
            <w:tcBorders>
              <w:bottom w:val="single" w:sz="4" w:space="0" w:color="auto"/>
            </w:tcBorders>
            <w:shd w:val="clear" w:color="auto" w:fill="auto"/>
            <w:noWrap/>
            <w:tcMar>
              <w:top w:w="0" w:type="dxa"/>
              <w:left w:w="108" w:type="dxa"/>
              <w:bottom w:w="0" w:type="dxa"/>
              <w:right w:w="108" w:type="dxa"/>
            </w:tcMar>
            <w:vAlign w:val="center"/>
          </w:tcPr>
          <w:p w14:paraId="25599966" w14:textId="77777777" w:rsidR="00055BFC" w:rsidRPr="00487076" w:rsidRDefault="00055BFC" w:rsidP="00B92127">
            <w:pPr>
              <w:spacing w:line="240" w:lineRule="auto"/>
              <w:rPr>
                <w:rFonts w:eastAsia="Times New Roman"/>
                <w:color w:val="000000"/>
                <w:sz w:val="16"/>
                <w:szCs w:val="16"/>
              </w:rPr>
            </w:pPr>
            <w:r>
              <w:rPr>
                <w:color w:val="000000"/>
                <w:sz w:val="16"/>
              </w:rPr>
              <w:t>*</w:t>
            </w:r>
            <w:r>
              <w:rPr>
                <w:sz w:val="16"/>
              </w:rPr>
              <w:t xml:space="preserve"> </w:t>
            </w:r>
            <w:r>
              <w:rPr>
                <w:color w:val="000000"/>
                <w:sz w:val="16"/>
              </w:rPr>
              <w:t>Девять из этих направлений/консультационных меморандумов включали в себя непрофильные дела, а некоторые направления включали в себя несколько дел в одном направлении/меморандуме</w:t>
            </w:r>
            <w:r>
              <w:rPr>
                <w:sz w:val="16"/>
              </w:rPr>
              <w:t>.</w:t>
            </w:r>
          </w:p>
        </w:tc>
      </w:tr>
      <w:tr w:rsidR="00055BFC" w:rsidRPr="00487076" w14:paraId="45F0069A" w14:textId="77777777" w:rsidTr="00B92127">
        <w:trPr>
          <w:trHeight w:val="432"/>
          <w:jc w:val="center"/>
        </w:trPr>
        <w:tc>
          <w:tcPr>
            <w:tcW w:w="7380" w:type="dxa"/>
            <w:gridSpan w:val="2"/>
            <w:tcBorders>
              <w:left w:val="nil"/>
              <w:bottom w:val="nil"/>
              <w:right w:val="nil"/>
            </w:tcBorders>
            <w:shd w:val="clear" w:color="auto" w:fill="auto"/>
            <w:noWrap/>
            <w:tcMar>
              <w:top w:w="0" w:type="dxa"/>
              <w:left w:w="108" w:type="dxa"/>
              <w:bottom w:w="0" w:type="dxa"/>
              <w:right w:w="108" w:type="dxa"/>
            </w:tcMar>
            <w:vAlign w:val="center"/>
          </w:tcPr>
          <w:p w14:paraId="4020D09E" w14:textId="77777777" w:rsidR="00055BFC" w:rsidRPr="00487076" w:rsidRDefault="00055BFC" w:rsidP="00B92127">
            <w:pPr>
              <w:spacing w:line="240" w:lineRule="auto"/>
              <w:jc w:val="center"/>
              <w:rPr>
                <w:rFonts w:eastAsia="Times New Roman"/>
                <w:color w:val="000000"/>
                <w:sz w:val="18"/>
                <w:szCs w:val="18"/>
              </w:rPr>
            </w:pPr>
          </w:p>
        </w:tc>
      </w:tr>
    </w:tbl>
    <w:p w14:paraId="243A2D8B" w14:textId="77777777" w:rsidR="00055BFC" w:rsidRPr="00487076" w:rsidRDefault="00055BFC" w:rsidP="00055BFC">
      <w:pPr>
        <w:pStyle w:val="Para1"/>
        <w:numPr>
          <w:ilvl w:val="0"/>
          <w:numId w:val="0"/>
        </w:numPr>
        <w:ind w:left="720" w:hanging="11"/>
      </w:pPr>
      <w:r w:rsidRPr="00487076">
        <w:t>91.</w:t>
      </w:r>
      <w:r w:rsidRPr="00487076">
        <w:tab/>
      </w:r>
      <w:r>
        <w:t>На момент подготовки настоящего доклада состояние 21 отчета о расследованиях и трех одобренных досье по расследованиям третьих сторон, которые были представлены в юридический отдел ЮНФПА, Комитет по проверке партнеров-исполнителей (IPRC) или Комитет по проверке поставщиков (VRC) в 2024 году, было следующим (подробнее см. таблицу 8 и приложение 4).</w:t>
      </w:r>
    </w:p>
    <w:p w14:paraId="66F2010A" w14:textId="77777777" w:rsidR="00055BFC" w:rsidRPr="00487076" w:rsidRDefault="00055BFC" w:rsidP="00055BFC">
      <w:pPr>
        <w:pStyle w:val="Paraa"/>
        <w:numPr>
          <w:ilvl w:val="0"/>
          <w:numId w:val="0"/>
        </w:numPr>
        <w:tabs>
          <w:tab w:val="left" w:pos="720"/>
          <w:tab w:val="left" w:pos="1170"/>
        </w:tabs>
        <w:ind w:left="1170" w:right="40" w:hanging="450"/>
      </w:pPr>
      <w:r w:rsidRPr="00487076">
        <w:t>(a)</w:t>
      </w:r>
      <w:r w:rsidRPr="00487076">
        <w:tab/>
      </w:r>
      <w:r>
        <w:t xml:space="preserve">Семь дел, касающихся партнеров-исполнителей, были переданы в Комитет по проверке партнеров-исполнителей для принятия решения. Шесть из них были подтверждены, а одно (расследование третьей стороной) было передано в юридический </w:t>
      </w:r>
      <w:proofErr w:type="gramStart"/>
      <w:r>
        <w:t>отдел, несмотря на то, что</w:t>
      </w:r>
      <w:proofErr w:type="gramEnd"/>
      <w:r>
        <w:t xml:space="preserve"> обвинения не были обоснованы, в связи с выявленными недостатками в подходе партнера-исполнителя к проведению расследования.</w:t>
      </w:r>
    </w:p>
    <w:p w14:paraId="6D1ECAC6" w14:textId="77777777" w:rsidR="00055BFC" w:rsidRPr="00487076" w:rsidRDefault="00055BFC" w:rsidP="00055BFC">
      <w:pPr>
        <w:pStyle w:val="Paraa"/>
        <w:numPr>
          <w:ilvl w:val="0"/>
          <w:numId w:val="0"/>
        </w:numPr>
        <w:tabs>
          <w:tab w:val="left" w:pos="720"/>
          <w:tab w:val="left" w:pos="1170"/>
        </w:tabs>
        <w:ind w:left="1890" w:right="40" w:hanging="720"/>
      </w:pPr>
      <w:r w:rsidRPr="00487076">
        <w:t>(i)</w:t>
      </w:r>
      <w:r w:rsidRPr="00487076">
        <w:tab/>
      </w:r>
      <w:r>
        <w:t xml:space="preserve">В одном случае Комитет по проверке партнеров-исполнителей отметил, что руководство партнера-исполнителя уже завершило действия по результатам специального аудита третьей стороны с принятием дополнительной документации для урегулирования выявленных финансовых потерь. Комитет по проверке партнеров-исполнителей решил поместить записку с кратким описанием этого дела в документы партнера-исполнителя; </w:t>
      </w:r>
    </w:p>
    <w:p w14:paraId="51560E95" w14:textId="77777777" w:rsidR="00055BFC" w:rsidRPr="00487076" w:rsidRDefault="00055BFC" w:rsidP="00055BFC">
      <w:pPr>
        <w:pStyle w:val="Paraa"/>
        <w:numPr>
          <w:ilvl w:val="0"/>
          <w:numId w:val="0"/>
        </w:numPr>
        <w:tabs>
          <w:tab w:val="left" w:pos="720"/>
          <w:tab w:val="left" w:pos="1170"/>
        </w:tabs>
        <w:ind w:left="1890" w:right="40" w:hanging="720"/>
      </w:pPr>
      <w:r w:rsidRPr="00487076">
        <w:t>(</w:t>
      </w:r>
      <w:proofErr w:type="spellStart"/>
      <w:r w:rsidRPr="00487076">
        <w:t>ii</w:t>
      </w:r>
      <w:proofErr w:type="spellEnd"/>
      <w:r w:rsidRPr="00487076">
        <w:t>)</w:t>
      </w:r>
      <w:r w:rsidRPr="00487076">
        <w:tab/>
      </w:r>
      <w:r>
        <w:t xml:space="preserve">В одном случае Комитет по проверке партнеров-исполнителей принял решение отстранить партнера-исполнителя с условным восстановлением и разместил информацию об этом на Портале партнеров Организации Объединенных Наций; </w:t>
      </w:r>
    </w:p>
    <w:p w14:paraId="6D7A3F52" w14:textId="77777777" w:rsidR="00055BFC" w:rsidRPr="00487076" w:rsidRDefault="00055BFC" w:rsidP="00055BFC">
      <w:pPr>
        <w:pStyle w:val="Paraa"/>
        <w:numPr>
          <w:ilvl w:val="0"/>
          <w:numId w:val="0"/>
        </w:numPr>
        <w:tabs>
          <w:tab w:val="left" w:pos="720"/>
          <w:tab w:val="left" w:pos="1170"/>
        </w:tabs>
        <w:ind w:left="1890" w:right="40" w:hanging="720"/>
      </w:pPr>
      <w:r w:rsidRPr="00487076">
        <w:t>(</w:t>
      </w:r>
      <w:proofErr w:type="spellStart"/>
      <w:r w:rsidRPr="00487076">
        <w:t>iii</w:t>
      </w:r>
      <w:proofErr w:type="spellEnd"/>
      <w:r w:rsidRPr="00487076">
        <w:t>)</w:t>
      </w:r>
      <w:r w:rsidRPr="00487076">
        <w:tab/>
      </w:r>
      <w:r>
        <w:t xml:space="preserve">В одном случае, когда обвинения оказались неподтвержденными, Комитет по проверке партнеров-исполнителей направил партнеру-исполнителю письмо с выговором, в котором напомнил о договорных обязательствах по проведению расследований; </w:t>
      </w:r>
    </w:p>
    <w:p w14:paraId="05DC1ACA" w14:textId="77777777" w:rsidR="00055BFC" w:rsidRPr="00487076" w:rsidRDefault="00055BFC" w:rsidP="00055BFC">
      <w:pPr>
        <w:pStyle w:val="Paraa"/>
        <w:numPr>
          <w:ilvl w:val="0"/>
          <w:numId w:val="0"/>
        </w:numPr>
        <w:tabs>
          <w:tab w:val="left" w:pos="720"/>
          <w:tab w:val="left" w:pos="1170"/>
        </w:tabs>
        <w:ind w:left="1890" w:right="40" w:hanging="720"/>
      </w:pPr>
      <w:r w:rsidRPr="00487076">
        <w:t>(</w:t>
      </w:r>
      <w:proofErr w:type="spellStart"/>
      <w:r w:rsidRPr="00487076">
        <w:t>iv</w:t>
      </w:r>
      <w:proofErr w:type="spellEnd"/>
      <w:r w:rsidRPr="00487076">
        <w:t>)</w:t>
      </w:r>
      <w:r w:rsidRPr="00487076">
        <w:tab/>
      </w:r>
      <w:r>
        <w:t xml:space="preserve">В одном случае Комитет по проверке партнеров-исполнителей направил партнеру-исполнителю письмо с выговором, в котором напомнил о договорных обязательствах и потребовал предоставить план действий по устранению недостатков. Партнер-исполнитель признал наличие недостатков со своей стороны и сообщил, что отстранил виновное лицо от должности; </w:t>
      </w:r>
    </w:p>
    <w:p w14:paraId="67FC5D5F" w14:textId="77777777" w:rsidR="00055BFC" w:rsidRPr="00487076" w:rsidRDefault="00055BFC" w:rsidP="00055BFC">
      <w:pPr>
        <w:pStyle w:val="Paraa"/>
        <w:numPr>
          <w:ilvl w:val="0"/>
          <w:numId w:val="0"/>
        </w:numPr>
        <w:tabs>
          <w:tab w:val="left" w:pos="720"/>
          <w:tab w:val="left" w:pos="1170"/>
        </w:tabs>
        <w:ind w:left="1890" w:right="40" w:hanging="720"/>
      </w:pPr>
      <w:r w:rsidRPr="00487076">
        <w:t>(v)</w:t>
      </w:r>
      <w:r w:rsidRPr="00487076">
        <w:tab/>
      </w:r>
      <w:r>
        <w:t>В одном случае Комитет по проверке партнеров-исполнителей потребовал от партнера-исполнителя принять меры по исправлению ситуации. Партнер-исполнитель сообщил Комитету по проверке партнеров-исполнителей, что отстранил виновное лицо от должности;</w:t>
      </w:r>
    </w:p>
    <w:p w14:paraId="5796E2DF" w14:textId="77777777" w:rsidR="00055BFC" w:rsidRPr="00487076" w:rsidRDefault="00055BFC" w:rsidP="00055BFC">
      <w:pPr>
        <w:pStyle w:val="Paraa"/>
        <w:numPr>
          <w:ilvl w:val="0"/>
          <w:numId w:val="0"/>
        </w:numPr>
        <w:tabs>
          <w:tab w:val="left" w:pos="720"/>
          <w:tab w:val="left" w:pos="1170"/>
        </w:tabs>
        <w:ind w:left="1890" w:right="40" w:hanging="720"/>
        <w:rPr>
          <w:spacing w:val="-4"/>
        </w:rPr>
      </w:pPr>
      <w:r w:rsidRPr="00487076">
        <w:rPr>
          <w:spacing w:val="-4"/>
        </w:rPr>
        <w:t>(</w:t>
      </w:r>
      <w:proofErr w:type="spellStart"/>
      <w:r w:rsidRPr="00487076">
        <w:rPr>
          <w:spacing w:val="-4"/>
        </w:rPr>
        <w:t>vi</w:t>
      </w:r>
      <w:proofErr w:type="spellEnd"/>
      <w:r w:rsidRPr="00487076">
        <w:rPr>
          <w:spacing w:val="-4"/>
        </w:rPr>
        <w:t>)</w:t>
      </w:r>
      <w:r w:rsidRPr="00487076">
        <w:rPr>
          <w:spacing w:val="-4"/>
        </w:rPr>
        <w:tab/>
      </w:r>
      <w:r>
        <w:t xml:space="preserve">В одном случае Комитет по проверке партнеров-исполнителей направил партнеру-исполнителю и его головной организации письмо с запросом о возврате 2 271 466 долл. США. ЮНФПА также принял решение внести информацию об этом деле на Портале партнеров Организации Объединенных Наций; и </w:t>
      </w:r>
    </w:p>
    <w:p w14:paraId="528A6B4A" w14:textId="77777777" w:rsidR="00055BFC" w:rsidRPr="00487076" w:rsidRDefault="00055BFC" w:rsidP="00055BFC">
      <w:pPr>
        <w:pStyle w:val="Paraa"/>
        <w:numPr>
          <w:ilvl w:val="0"/>
          <w:numId w:val="0"/>
        </w:numPr>
        <w:tabs>
          <w:tab w:val="left" w:pos="720"/>
          <w:tab w:val="left" w:pos="1170"/>
        </w:tabs>
        <w:ind w:left="1890" w:right="40" w:hanging="720"/>
      </w:pPr>
      <w:r w:rsidRPr="00487076">
        <w:t>(</w:t>
      </w:r>
      <w:proofErr w:type="spellStart"/>
      <w:r w:rsidRPr="00487076">
        <w:t>vii</w:t>
      </w:r>
      <w:proofErr w:type="spellEnd"/>
      <w:r w:rsidRPr="00487076">
        <w:t>)</w:t>
      </w:r>
      <w:r w:rsidRPr="00487076">
        <w:tab/>
      </w:r>
      <w:r>
        <w:t xml:space="preserve">В одном случае Комитет по проверке партнеров-исполнителей принял решение отстранить партнера-исполнителя с условным восстановлением и разместил информацию об этом на Портале партнеров Организации Объединенных Наций; Комитет по проверке партнеров-исполнителей обратился к координатору подразделения ЮНФПА в области защиты от сексуальной эксплуатации и сексуальных надругательств с просьбой совместно со страновым отделением ЮНФПА включить имя субъекта в базу данных случаев сексуального преследования для неправительственных организаций. </w:t>
      </w:r>
    </w:p>
    <w:p w14:paraId="2342CD67" w14:textId="77777777" w:rsidR="00055BFC" w:rsidRPr="00487076" w:rsidRDefault="00055BFC" w:rsidP="00055BFC">
      <w:pPr>
        <w:pStyle w:val="Paraa"/>
        <w:numPr>
          <w:ilvl w:val="0"/>
          <w:numId w:val="0"/>
        </w:numPr>
        <w:tabs>
          <w:tab w:val="left" w:pos="720"/>
          <w:tab w:val="left" w:pos="1170"/>
        </w:tabs>
        <w:ind w:left="720" w:right="40"/>
      </w:pPr>
      <w:r w:rsidRPr="00487076">
        <w:t>(b)</w:t>
      </w:r>
      <w:r w:rsidRPr="00487076">
        <w:tab/>
      </w:r>
      <w:r>
        <w:t>Дисциплинарные меры были приняты в трех случаях, касающихся персонала ЮНФПА.</w:t>
      </w:r>
    </w:p>
    <w:p w14:paraId="54CEA1E3" w14:textId="77777777" w:rsidR="00055BFC" w:rsidRPr="00487076" w:rsidRDefault="00055BFC" w:rsidP="00055BFC">
      <w:pPr>
        <w:pStyle w:val="Paraa"/>
        <w:numPr>
          <w:ilvl w:val="0"/>
          <w:numId w:val="0"/>
        </w:numPr>
        <w:tabs>
          <w:tab w:val="left" w:pos="720"/>
          <w:tab w:val="left" w:pos="1170"/>
        </w:tabs>
        <w:ind w:left="1890" w:right="40" w:hanging="720"/>
      </w:pPr>
      <w:r w:rsidRPr="00487076">
        <w:t>(i)</w:t>
      </w:r>
      <w:r w:rsidRPr="00487076">
        <w:tab/>
      </w:r>
      <w:r>
        <w:t>В одном случае контракт ЮНФПА с подрядчиком был расторгнут;</w:t>
      </w:r>
    </w:p>
    <w:p w14:paraId="16256785" w14:textId="77777777" w:rsidR="00055BFC" w:rsidRPr="00487076" w:rsidRDefault="00055BFC" w:rsidP="00055BFC">
      <w:pPr>
        <w:pStyle w:val="Paraa"/>
        <w:numPr>
          <w:ilvl w:val="0"/>
          <w:numId w:val="0"/>
        </w:numPr>
        <w:tabs>
          <w:tab w:val="left" w:pos="720"/>
          <w:tab w:val="left" w:pos="1170"/>
        </w:tabs>
        <w:ind w:left="1890" w:right="40" w:hanging="720"/>
      </w:pPr>
      <w:r w:rsidRPr="00487076">
        <w:t>(</w:t>
      </w:r>
      <w:proofErr w:type="spellStart"/>
      <w:r w:rsidRPr="00487076">
        <w:t>ii</w:t>
      </w:r>
      <w:proofErr w:type="spellEnd"/>
      <w:r w:rsidRPr="00487076">
        <w:t>)</w:t>
      </w:r>
      <w:r w:rsidRPr="00487076">
        <w:tab/>
      </w:r>
      <w:r>
        <w:t>В одном случае на сотрудника были наложены санкции в виде понижения в должности на одну ступень и отсрочки на один год права на повышение заработной платы; и</w:t>
      </w:r>
    </w:p>
    <w:p w14:paraId="34011BEE" w14:textId="77777777" w:rsidR="00055BFC" w:rsidRPr="00487076" w:rsidRDefault="00055BFC" w:rsidP="00055BFC">
      <w:pPr>
        <w:pStyle w:val="Paraa"/>
        <w:numPr>
          <w:ilvl w:val="0"/>
          <w:numId w:val="0"/>
        </w:numPr>
        <w:tabs>
          <w:tab w:val="left" w:pos="720"/>
          <w:tab w:val="left" w:pos="1170"/>
        </w:tabs>
        <w:ind w:left="1890" w:right="40" w:hanging="720"/>
      </w:pPr>
      <w:r w:rsidRPr="00487076">
        <w:t>(</w:t>
      </w:r>
      <w:proofErr w:type="spellStart"/>
      <w:r w:rsidRPr="00487076">
        <w:t>iii</w:t>
      </w:r>
      <w:proofErr w:type="spellEnd"/>
      <w:r w:rsidRPr="00487076">
        <w:t>)</w:t>
      </w:r>
      <w:r w:rsidRPr="00487076">
        <w:tab/>
      </w:r>
      <w:r>
        <w:t>В одном случае контракт консультанта ЮНФПА не был продлен после завершения срока действия.</w:t>
      </w:r>
    </w:p>
    <w:p w14:paraId="29993F4C" w14:textId="77777777" w:rsidR="00055BFC" w:rsidRPr="00487076" w:rsidRDefault="00055BFC" w:rsidP="00055BFC">
      <w:pPr>
        <w:pStyle w:val="Paraa"/>
        <w:numPr>
          <w:ilvl w:val="0"/>
          <w:numId w:val="0"/>
        </w:numPr>
        <w:tabs>
          <w:tab w:val="left" w:pos="720"/>
          <w:tab w:val="left" w:pos="1170"/>
        </w:tabs>
        <w:ind w:left="720" w:right="40"/>
      </w:pPr>
      <w:r w:rsidRPr="00487076">
        <w:t>(c)</w:t>
      </w:r>
      <w:r w:rsidRPr="00487076">
        <w:tab/>
      </w:r>
      <w:r>
        <w:t>Восемь дел касались бывших сотрудников ЮНФПА, чьи контракты не были продлены, или сотрудников, которые уволились или иным образом прекратили службу до опубликования отчетов о расследовании или на этапе дисциплинарного производства.</w:t>
      </w:r>
    </w:p>
    <w:p w14:paraId="771E052C" w14:textId="77777777" w:rsidR="00055BFC" w:rsidRPr="00487076" w:rsidRDefault="00055BFC" w:rsidP="00055BFC">
      <w:pPr>
        <w:pStyle w:val="Paraa"/>
        <w:numPr>
          <w:ilvl w:val="0"/>
          <w:numId w:val="0"/>
        </w:numPr>
        <w:tabs>
          <w:tab w:val="left" w:pos="720"/>
          <w:tab w:val="left" w:pos="1170"/>
        </w:tabs>
        <w:ind w:left="1890" w:right="40" w:hanging="720"/>
      </w:pPr>
      <w:r w:rsidRPr="00487076">
        <w:t>(i)</w:t>
      </w:r>
      <w:r w:rsidRPr="00487076">
        <w:tab/>
      </w:r>
      <w:r>
        <w:t>В трех случаях, связанных с двумя бывшими индивидуальными подрядчиками и бывшим консультантом ЮНФПА, в личные дела субъектов внесена отметка, исключающая повторный найм;</w:t>
      </w:r>
    </w:p>
    <w:p w14:paraId="55B95C86" w14:textId="77777777" w:rsidR="00055BFC" w:rsidRPr="00487076" w:rsidRDefault="00055BFC" w:rsidP="00055BFC">
      <w:pPr>
        <w:pStyle w:val="Paraa"/>
        <w:numPr>
          <w:ilvl w:val="0"/>
          <w:numId w:val="0"/>
        </w:numPr>
        <w:tabs>
          <w:tab w:val="left" w:pos="720"/>
          <w:tab w:val="left" w:pos="1170"/>
        </w:tabs>
        <w:ind w:left="1890" w:right="40" w:hanging="720"/>
      </w:pPr>
      <w:r w:rsidRPr="00487076">
        <w:t>(</w:t>
      </w:r>
      <w:proofErr w:type="spellStart"/>
      <w:r w:rsidRPr="00487076">
        <w:t>ii</w:t>
      </w:r>
      <w:proofErr w:type="spellEnd"/>
      <w:r w:rsidRPr="00487076">
        <w:t>)</w:t>
      </w:r>
      <w:r w:rsidRPr="00487076">
        <w:tab/>
      </w:r>
      <w:r>
        <w:t>В одном случае старшее должностное лицо ЮНФПА уволилось до завершения дисциплинарного процесса. В личное дело старшего должностного лица была внесена отметка, исключающая повторный найм. У старшего должностного лица было взыскано 125 062 долл. США, но меры по взысканию оставшейся суммы убытков продолжаются;</w:t>
      </w:r>
    </w:p>
    <w:p w14:paraId="431F5E1E" w14:textId="77777777" w:rsidR="00055BFC" w:rsidRPr="00487076" w:rsidRDefault="00055BFC" w:rsidP="00055BFC">
      <w:pPr>
        <w:pStyle w:val="Paraa"/>
        <w:numPr>
          <w:ilvl w:val="0"/>
          <w:numId w:val="0"/>
        </w:numPr>
        <w:tabs>
          <w:tab w:val="left" w:pos="720"/>
          <w:tab w:val="left" w:pos="1170"/>
        </w:tabs>
        <w:ind w:left="1890" w:right="40" w:hanging="720"/>
      </w:pPr>
      <w:r w:rsidRPr="00487076">
        <w:t>(</w:t>
      </w:r>
      <w:proofErr w:type="spellStart"/>
      <w:r w:rsidRPr="00487076">
        <w:t>iii</w:t>
      </w:r>
      <w:proofErr w:type="spellEnd"/>
      <w:r w:rsidRPr="00487076">
        <w:t>)</w:t>
      </w:r>
      <w:r w:rsidRPr="00487076">
        <w:tab/>
      </w:r>
      <w:r>
        <w:t>В одном случае, переданном на рассмотрение в Бюро по вопросам этики, старшее должностное лицо ЮНФПА было отстранено от должностных обязанностей до завершения дисциплинарного процесса. В личное дело старшего должностного лица была внесена отметка, исключающая повторный найм;</w:t>
      </w:r>
    </w:p>
    <w:p w14:paraId="256A6BC8" w14:textId="77777777" w:rsidR="00055BFC" w:rsidRPr="00487076" w:rsidRDefault="00055BFC" w:rsidP="00055BFC">
      <w:pPr>
        <w:pStyle w:val="Paraa"/>
        <w:numPr>
          <w:ilvl w:val="0"/>
          <w:numId w:val="0"/>
        </w:numPr>
        <w:tabs>
          <w:tab w:val="left" w:pos="720"/>
          <w:tab w:val="left" w:pos="1170"/>
        </w:tabs>
        <w:ind w:left="1890" w:right="40" w:hanging="720"/>
      </w:pPr>
      <w:r w:rsidRPr="00487076">
        <w:t>(</w:t>
      </w:r>
      <w:proofErr w:type="spellStart"/>
      <w:r w:rsidRPr="00487076">
        <w:t>iv</w:t>
      </w:r>
      <w:proofErr w:type="spellEnd"/>
      <w:r w:rsidRPr="00487076">
        <w:t>)</w:t>
      </w:r>
      <w:r w:rsidRPr="00487076">
        <w:tab/>
      </w:r>
      <w:r>
        <w:t>В одном случае старшее должностное лицо ЮНФПА было отстранено от должностных обязанностей до завершения дисциплинарного процесса.</w:t>
      </w:r>
    </w:p>
    <w:p w14:paraId="7EB5AB0C" w14:textId="77777777" w:rsidR="00055BFC" w:rsidRPr="00487076" w:rsidRDefault="00055BFC" w:rsidP="00055BFC">
      <w:pPr>
        <w:pStyle w:val="Paraa"/>
        <w:numPr>
          <w:ilvl w:val="0"/>
          <w:numId w:val="0"/>
        </w:numPr>
        <w:tabs>
          <w:tab w:val="left" w:pos="720"/>
          <w:tab w:val="left" w:pos="1170"/>
        </w:tabs>
        <w:ind w:left="1890" w:right="40" w:hanging="720"/>
      </w:pPr>
      <w:r w:rsidRPr="00487076">
        <w:t>(v)</w:t>
      </w:r>
      <w:r w:rsidRPr="00487076">
        <w:tab/>
      </w:r>
      <w:r>
        <w:t xml:space="preserve">В одном случае сотрудник уволился во время расследования. Имя сотрудника было добавлено в общую базу данных Организации Объединенных Наций </w:t>
      </w:r>
      <w:proofErr w:type="spellStart"/>
      <w:r>
        <w:t>ClearCheck</w:t>
      </w:r>
      <w:proofErr w:type="spellEnd"/>
      <w:r>
        <w:t>, а в личное дело сотрудника была внесена отметка, исключающая повторный найм; и</w:t>
      </w:r>
    </w:p>
    <w:p w14:paraId="1A6FF1EF" w14:textId="77777777" w:rsidR="00055BFC" w:rsidRPr="00487076" w:rsidRDefault="00055BFC" w:rsidP="00055BFC">
      <w:pPr>
        <w:pStyle w:val="Paraa"/>
        <w:numPr>
          <w:ilvl w:val="0"/>
          <w:numId w:val="0"/>
        </w:numPr>
        <w:tabs>
          <w:tab w:val="left" w:pos="720"/>
          <w:tab w:val="left" w:pos="1170"/>
        </w:tabs>
        <w:ind w:left="1890" w:right="40" w:hanging="720"/>
      </w:pPr>
      <w:r w:rsidRPr="00487076">
        <w:t>(</w:t>
      </w:r>
      <w:proofErr w:type="spellStart"/>
      <w:r w:rsidRPr="00487076">
        <w:t>vi</w:t>
      </w:r>
      <w:proofErr w:type="spellEnd"/>
      <w:r w:rsidRPr="00487076">
        <w:t>)</w:t>
      </w:r>
      <w:r w:rsidRPr="00487076">
        <w:tab/>
      </w:r>
      <w:r>
        <w:t xml:space="preserve">В одном случае имя консультанта ЮНФПА было добавлено в базу </w:t>
      </w:r>
      <w:proofErr w:type="spellStart"/>
      <w:r>
        <w:t>ClearCheck</w:t>
      </w:r>
      <w:proofErr w:type="spellEnd"/>
      <w:r>
        <w:t>, а в его личное дело была внесена отметка, исключающая повторный найм.</w:t>
      </w:r>
    </w:p>
    <w:p w14:paraId="53A119FE" w14:textId="77777777" w:rsidR="00055BFC" w:rsidRPr="00487076" w:rsidRDefault="00055BFC" w:rsidP="00055BFC">
      <w:pPr>
        <w:pStyle w:val="Paraa"/>
        <w:numPr>
          <w:ilvl w:val="0"/>
          <w:numId w:val="0"/>
        </w:numPr>
        <w:tabs>
          <w:tab w:val="left" w:pos="720"/>
          <w:tab w:val="left" w:pos="1170"/>
        </w:tabs>
        <w:ind w:left="720" w:right="40"/>
      </w:pPr>
      <w:r w:rsidRPr="00487076">
        <w:t>(d)</w:t>
      </w:r>
      <w:r w:rsidRPr="00487076">
        <w:tab/>
      </w:r>
      <w:r>
        <w:t xml:space="preserve">Два дела были переданы на рассмотрение в Комитет по проверке поставщиков (VRC). Рассмотрение этих двух дел в Комитете по проверке поставщиков продолжается; </w:t>
      </w:r>
    </w:p>
    <w:p w14:paraId="666EF9A4" w14:textId="41610859" w:rsidR="00055BFC" w:rsidRPr="00487076" w:rsidRDefault="00055BFC" w:rsidP="00055BFC">
      <w:pPr>
        <w:pStyle w:val="Paraa"/>
        <w:numPr>
          <w:ilvl w:val="0"/>
          <w:numId w:val="0"/>
        </w:numPr>
        <w:tabs>
          <w:tab w:val="left" w:pos="720"/>
          <w:tab w:val="left" w:pos="1170"/>
        </w:tabs>
        <w:ind w:left="720" w:right="40"/>
      </w:pPr>
      <w:r w:rsidRPr="00487076">
        <w:t>(e)</w:t>
      </w:r>
      <w:r w:rsidRPr="00487076">
        <w:tab/>
      </w:r>
      <w:r>
        <w:t xml:space="preserve">В одном случае установленные УАР факты не соответствовали требованиям доказательственной базы, необходимой для признания неправомерного действия в соответствии со стандартами административных трибуналов Организации Объединенных Наций; и  </w:t>
      </w:r>
    </w:p>
    <w:p w14:paraId="4A6BF6A6" w14:textId="0F38F2DC" w:rsidR="00055BFC" w:rsidRPr="00A05648" w:rsidRDefault="00055BFC" w:rsidP="00055BFC">
      <w:pPr>
        <w:pStyle w:val="Paraa"/>
        <w:numPr>
          <w:ilvl w:val="0"/>
          <w:numId w:val="0"/>
        </w:numPr>
        <w:ind w:left="1170" w:hanging="450"/>
      </w:pPr>
      <w:r w:rsidRPr="00A05648">
        <w:t>(f)</w:t>
      </w:r>
      <w:r w:rsidRPr="00A05648">
        <w:tab/>
      </w:r>
      <w:r>
        <w:t>Три дела с участием персонала ЮНФПА находились на рассмотрении для принятия соответствующего организационного или дисциплинарного решения/действия.</w:t>
      </w:r>
    </w:p>
    <w:p w14:paraId="2AE211A0" w14:textId="6A4D65FF" w:rsidR="00055BFC" w:rsidRPr="00487076" w:rsidRDefault="009D6AEA" w:rsidP="00055BFC">
      <w:pPr>
        <w:pStyle w:val="Figure"/>
        <w:suppressAutoHyphens/>
        <w:spacing w:before="360" w:after="240"/>
        <w:ind w:left="709" w:right="0"/>
      </w:pPr>
      <w:r>
        <w:rPr>
          <w:noProof/>
          <w:lang w:val="en-US"/>
        </w:rPr>
        <w:drawing>
          <wp:anchor distT="0" distB="0" distL="114300" distR="114300" simplePos="0" relativeHeight="251664384" behindDoc="0" locked="0" layoutInCell="1" allowOverlap="1" wp14:anchorId="58EE447E" wp14:editId="405C6637">
            <wp:simplePos x="0" y="0"/>
            <wp:positionH relativeFrom="column">
              <wp:posOffset>781050</wp:posOffset>
            </wp:positionH>
            <wp:positionV relativeFrom="paragraph">
              <wp:posOffset>549275</wp:posOffset>
            </wp:positionV>
            <wp:extent cx="5210354" cy="4589495"/>
            <wp:effectExtent l="0" t="0" r="0" b="1905"/>
            <wp:wrapTopAndBottom/>
            <wp:docPr id="1098424043" name="Obrázek 7" descr="Obsah obrázku text, snímek obrazovky, kruh,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24043" name="Obrázek 7" descr="Obsah obrázku text, snímek obrazovky, kruh, diagram&#10;&#10;Popis byl vytvořen automaticky"/>
                    <pic:cNvPicPr/>
                  </pic:nvPicPr>
                  <pic:blipFill>
                    <a:blip r:embed="rId36">
                      <a:extLst>
                        <a:ext uri="{28A0092B-C50C-407E-A947-70E740481C1C}">
                          <a14:useLocalDpi xmlns:a14="http://schemas.microsoft.com/office/drawing/2010/main" val="0"/>
                        </a:ext>
                      </a:extLst>
                    </a:blip>
                    <a:stretch>
                      <a:fillRect/>
                    </a:stretch>
                  </pic:blipFill>
                  <pic:spPr>
                    <a:xfrm>
                      <a:off x="0" y="0"/>
                      <a:ext cx="5210354" cy="4589495"/>
                    </a:xfrm>
                    <a:prstGeom prst="rect">
                      <a:avLst/>
                    </a:prstGeom>
                  </pic:spPr>
                </pic:pic>
              </a:graphicData>
            </a:graphic>
            <wp14:sizeRelH relativeFrom="page">
              <wp14:pctWidth>0</wp14:pctWidth>
            </wp14:sizeRelH>
            <wp14:sizeRelV relativeFrom="page">
              <wp14:pctHeight>0</wp14:pctHeight>
            </wp14:sizeRelV>
          </wp:anchor>
        </w:drawing>
      </w:r>
      <w:r w:rsidR="00055BFC">
        <w:t xml:space="preserve">Рисунок 11. Распределение открытых дел (283) по состоянию </w:t>
      </w:r>
      <w:r w:rsidR="00055BFC" w:rsidRPr="00A05648">
        <w:br/>
      </w:r>
      <w:r w:rsidR="00055BFC">
        <w:t>на конец года с переносом на 2025 год</w:t>
      </w:r>
    </w:p>
    <w:p w14:paraId="3DCB005D" w14:textId="6F6E01F1" w:rsidR="00055BFC" w:rsidRDefault="00055BFC" w:rsidP="00055BFC">
      <w:pPr>
        <w:ind w:left="709"/>
        <w:jc w:val="center"/>
        <w:rPr>
          <w:lang w:val="cs-CZ"/>
        </w:rPr>
      </w:pPr>
      <w:bookmarkStart w:id="58" w:name="_heading=h.26in1rg"/>
      <w:bookmarkEnd w:id="58"/>
    </w:p>
    <w:p w14:paraId="2FD9D670" w14:textId="25933CE8" w:rsidR="00055BFC" w:rsidRPr="00487076" w:rsidRDefault="00055BFC" w:rsidP="00055BFC">
      <w:pPr>
        <w:pStyle w:val="HeadI"/>
        <w:numPr>
          <w:ilvl w:val="0"/>
          <w:numId w:val="0"/>
        </w:numPr>
        <w:ind w:left="720" w:right="43" w:hanging="294"/>
      </w:pPr>
      <w:bookmarkStart w:id="59" w:name="_Toc131453717"/>
      <w:bookmarkStart w:id="60" w:name="_Toc131453794"/>
      <w:bookmarkStart w:id="61" w:name="_Toc131453718"/>
      <w:bookmarkStart w:id="62" w:name="_Toc131453795"/>
      <w:bookmarkStart w:id="63" w:name="_Toc196833162"/>
      <w:bookmarkEnd w:id="59"/>
      <w:bookmarkEnd w:id="60"/>
      <w:bookmarkEnd w:id="61"/>
      <w:bookmarkEnd w:id="62"/>
      <w:r w:rsidRPr="00487076">
        <w:rPr>
          <w:sz w:val="24"/>
          <w:szCs w:val="24"/>
        </w:rPr>
        <w:t>IX.</w:t>
      </w:r>
      <w:r w:rsidRPr="00487076">
        <w:rPr>
          <w:sz w:val="24"/>
          <w:szCs w:val="24"/>
        </w:rPr>
        <w:tab/>
      </w:r>
      <w:r>
        <w:t>Консультационные услуги, оказанные в 2024 году</w:t>
      </w:r>
      <w:bookmarkEnd w:id="63"/>
    </w:p>
    <w:p w14:paraId="53045AAE" w14:textId="77777777" w:rsidR="00055BFC" w:rsidRPr="00487076" w:rsidRDefault="00055BFC" w:rsidP="00055BFC">
      <w:pPr>
        <w:pStyle w:val="Para1"/>
        <w:keepNext/>
        <w:keepLines/>
        <w:numPr>
          <w:ilvl w:val="0"/>
          <w:numId w:val="0"/>
        </w:numPr>
        <w:ind w:left="720" w:right="43" w:hanging="11"/>
      </w:pPr>
      <w:r w:rsidRPr="00487076">
        <w:t>92.</w:t>
      </w:r>
      <w:r w:rsidRPr="00487076">
        <w:tab/>
      </w:r>
      <w:r>
        <w:t>В соответствии со своим уставом УАР также может оказывать консультативные услуги руководству ЮНФПА в той степени, в которой не ставится под угрозу его независимость и объективность. Предоставляемые консультационные услуги основаны на знании процессов руководства, управления рисками и внутреннего контроля, а также на уроках, извлеченных из проведенных аудитов и расследований. Предоставляя эти услуги, УАР не участвует в процессе принятия решений и не определяет, какие действия должен предпринять ЮНФПА.</w:t>
      </w:r>
    </w:p>
    <w:p w14:paraId="6917B6CD" w14:textId="77777777" w:rsidR="00055BFC" w:rsidRPr="00487076" w:rsidRDefault="00055BFC" w:rsidP="00055BFC">
      <w:pPr>
        <w:pStyle w:val="Para1"/>
        <w:numPr>
          <w:ilvl w:val="0"/>
          <w:numId w:val="0"/>
        </w:numPr>
        <w:ind w:left="720" w:hanging="11"/>
      </w:pPr>
      <w:r w:rsidRPr="00487076">
        <w:t>93.</w:t>
      </w:r>
      <w:r w:rsidRPr="00487076">
        <w:tab/>
      </w:r>
      <w:r>
        <w:t xml:space="preserve">В 2024 году УАР продолжило оказывать консультационные услуги в различных сферах деятельности. В течение года были оказаны следующие консультационные услуги: </w:t>
      </w:r>
    </w:p>
    <w:p w14:paraId="4DCCBE66" w14:textId="77777777" w:rsidR="00055BFC" w:rsidRPr="00487076" w:rsidRDefault="00055BFC" w:rsidP="00055BFC">
      <w:pPr>
        <w:pStyle w:val="Paraa"/>
        <w:numPr>
          <w:ilvl w:val="0"/>
          <w:numId w:val="0"/>
        </w:numPr>
        <w:ind w:left="720"/>
      </w:pPr>
      <w:r w:rsidRPr="00487076">
        <w:t>(a)</w:t>
      </w:r>
      <w:r w:rsidRPr="00487076">
        <w:tab/>
      </w:r>
      <w:r>
        <w:rPr>
          <w:i/>
        </w:rPr>
        <w:t>Пересмотр соглашений о финансировании</w:t>
      </w:r>
      <w:r>
        <w:t>. В 2024 году УАР рассмотрело и представило материалы по 13 соглашениям. К ним относятся соглашения о финансировании (девять), меморандумы о взаимопонимании с другими организациями (два) и долгосрочные соглашения или генеральные соглашения об оказании услуг с поставщиками (два);</w:t>
      </w:r>
    </w:p>
    <w:p w14:paraId="42B1266C" w14:textId="77777777" w:rsidR="00055BFC" w:rsidRPr="00487076" w:rsidRDefault="00055BFC" w:rsidP="00055BFC">
      <w:pPr>
        <w:pStyle w:val="Paraa"/>
        <w:numPr>
          <w:ilvl w:val="0"/>
          <w:numId w:val="0"/>
        </w:numPr>
        <w:ind w:left="720"/>
      </w:pPr>
      <w:r w:rsidRPr="00487076">
        <w:t>(b)</w:t>
      </w:r>
      <w:r w:rsidRPr="00487076">
        <w:tab/>
      </w:r>
      <w:r>
        <w:rPr>
          <w:i/>
        </w:rPr>
        <w:t>Политики и другие мероприятия</w:t>
      </w:r>
      <w:r>
        <w:t>. Для улучшения процессов управления рисками организации УАР продолжало выполнять свою роль наблюдателя в Комитете по политике и внесло свой вклад в пересмотр 14 политик и процедур. Кроме того, в рамках реализации дорожной картины по управлению данными и аналитике УАР провело обзор политики и процедур ЮНФПА с использованием машинного обучения и других алгоритмов для проверки определенных предположений, включая способность сотрудников и отделений соблюдать установленные политики. В ходе обзора было проанализировано 308 документов (политика, процедуры, руководящие указания и соглашения) из 480, содержащихся в корпоративном Руководстве по политикам и процедурам ЮНФПА, а его результаты были доложены Исполнительному комитету;</w:t>
      </w:r>
    </w:p>
    <w:p w14:paraId="211BCF22" w14:textId="77777777" w:rsidR="00055BFC" w:rsidRPr="00487076" w:rsidRDefault="00055BFC" w:rsidP="00055BFC">
      <w:pPr>
        <w:pStyle w:val="Paraa"/>
        <w:numPr>
          <w:ilvl w:val="0"/>
          <w:numId w:val="0"/>
        </w:numPr>
        <w:ind w:left="720"/>
      </w:pPr>
      <w:r w:rsidRPr="00487076">
        <w:t>(c)</w:t>
      </w:r>
      <w:r w:rsidRPr="00487076">
        <w:tab/>
      </w:r>
      <w:r>
        <w:rPr>
          <w:i/>
        </w:rPr>
        <w:t>Оказание поддержки высшему руководству ЮНФПА</w:t>
      </w:r>
      <w:r>
        <w:t xml:space="preserve">. Помимо предоставления специальных консультаций высшему руководству ЮНФПА (в случаях обращения за консультацией) УАР продолжало участвовать в качестве наблюдателя в различных комитетах, включая Исполнительный комитет, Совет по проекту ERP, Совет по управлению ИКТ, Руководящий комитет по гуманитарным вопросам, Комитет по контролю за соблюдением требований надзора и Комитет по политике. </w:t>
      </w:r>
    </w:p>
    <w:p w14:paraId="42E61348" w14:textId="77777777" w:rsidR="00055BFC" w:rsidRPr="00487076" w:rsidRDefault="00055BFC" w:rsidP="00055BFC">
      <w:pPr>
        <w:pStyle w:val="Paraa"/>
        <w:numPr>
          <w:ilvl w:val="0"/>
          <w:numId w:val="0"/>
        </w:numPr>
        <w:ind w:left="720"/>
      </w:pPr>
      <w:r w:rsidRPr="00487076">
        <w:t>(d)</w:t>
      </w:r>
      <w:r w:rsidRPr="00487076">
        <w:tab/>
      </w:r>
      <w:r>
        <w:rPr>
          <w:i/>
        </w:rPr>
        <w:t>Общая поддержка персонала и руководства ЮНФПА</w:t>
      </w:r>
      <w:r>
        <w:t>. Сюда по-прежнему входят специальные запросы на получение информации от различных подразделений, ответы на запросы о помощи, полученные через внутреннюю службу комплексного обслуживания, и ежемесячное предоставление данных для включения в информационные бюллетени ЮНФПА.</w:t>
      </w:r>
    </w:p>
    <w:p w14:paraId="0F7E9963" w14:textId="77777777" w:rsidR="00055BFC" w:rsidRPr="00487076" w:rsidRDefault="00055BFC" w:rsidP="00055BFC">
      <w:pPr>
        <w:pStyle w:val="Paraa"/>
        <w:numPr>
          <w:ilvl w:val="0"/>
          <w:numId w:val="0"/>
        </w:numPr>
        <w:ind w:left="720"/>
      </w:pPr>
      <w:r w:rsidRPr="00487076">
        <w:t>(e)</w:t>
      </w:r>
      <w:r w:rsidRPr="00487076">
        <w:tab/>
      </w:r>
      <w:r>
        <w:rPr>
          <w:i/>
        </w:rPr>
        <w:t>Предоставление материалов для оценки ЮНФПА внешними сторонами и участие в визитах спонсоров</w:t>
      </w:r>
      <w:r>
        <w:t xml:space="preserve">. В 2024 году УАР продолжало вносить вклад в обзоры и оценки, проводимые Объединенной инспекционной группой (ОИГ) и другими заинтересованными сторонами, включая недавние миссии доноров в ЮНФПА, организованные Агентством США по международному развитию и Министерством иностранных дел, по делам Содружества и развития Соединенного Королевства. УАР также поддержало проведение обзора Сетью по оценке эффективности работы многосторонних организаций (МОНАП), который начнется в 2024 году. </w:t>
      </w:r>
    </w:p>
    <w:p w14:paraId="06CF117B" w14:textId="74E92F97" w:rsidR="00055BFC" w:rsidRPr="00487076" w:rsidRDefault="00055BFC" w:rsidP="00055BFC">
      <w:pPr>
        <w:pStyle w:val="Paraa"/>
        <w:numPr>
          <w:ilvl w:val="0"/>
          <w:numId w:val="0"/>
        </w:numPr>
        <w:ind w:left="720"/>
      </w:pPr>
      <w:r w:rsidRPr="00487076">
        <w:t>(f)</w:t>
      </w:r>
      <w:r w:rsidRPr="00487076">
        <w:tab/>
      </w:r>
      <w:r>
        <w:rPr>
          <w:i/>
        </w:rPr>
        <w:t>Сексуальная эксплуатация, сексуальные надругательства и сексуальные домогательства</w:t>
      </w:r>
      <w:r>
        <w:t>. УАР продолжало оказывать поддержку в обучении руководства и участвовало в рассмотрении положений о сексуальной эксплуатации, сексуальных надругательствах и сексуальных домогательствах в соглашениях с донорами. В связи с этим УАР: (i) предоставляло консультационные услуги многочисленным региональным и страновым отделениям и подразделениям, участвуя в презентациях и встречах с подразделениями ЮНФПА (например, представительством ЮНФПА для стран Северной Европы) и донорами (например, с Группой по расследованию сексуальных преследований Министерства иностранных дел, по делам Содружества и развития Соединенного Королевства); (</w:t>
      </w:r>
      <w:proofErr w:type="spellStart"/>
      <w:r>
        <w:t>ii</w:t>
      </w:r>
      <w:proofErr w:type="spellEnd"/>
      <w:r>
        <w:t>) проводило обзоры основного стандарта 8 Протокола о партнерах-исполнителях в области защиты от сексуальной эксплуатации и сексуальных надругательств, предоставляя рекомендации в течение всего года; (</w:t>
      </w:r>
      <w:proofErr w:type="spellStart"/>
      <w:r>
        <w:t>iii</w:t>
      </w:r>
      <w:proofErr w:type="spellEnd"/>
      <w:r>
        <w:t>) сотрудничало с Консультативным комитетом Группы по защите от сексуальной эксплуатации, сексуальных надругательств и сексуальных домогательств ЮНФПА, предоставляя материалы по стратегии ЮНФПА в области сексуальной эксплуатации, сексуальных надругательств и сексуальных домогательств и участвуя в вебинарах и презентациях; (</w:t>
      </w:r>
      <w:proofErr w:type="spellStart"/>
      <w:r>
        <w:t>iv</w:t>
      </w:r>
      <w:proofErr w:type="spellEnd"/>
      <w:r>
        <w:t>)</w:t>
      </w:r>
      <w:r w:rsidR="00546DBD">
        <w:rPr>
          <w:lang w:val="en-US"/>
        </w:rPr>
        <w:t> </w:t>
      </w:r>
      <w:r>
        <w:t>участвовало в разработке руководства по расследованию сексуальных домогательств; (v) оказало содействие в проведении обучения по подходу, ориентированному на помощь пострадавшим, совместно с отделением по защите прав жертв, ЮНИСЕФ и ПРООН; и (</w:t>
      </w:r>
      <w:proofErr w:type="spellStart"/>
      <w:r>
        <w:t>vi</w:t>
      </w:r>
      <w:proofErr w:type="spellEnd"/>
      <w:r>
        <w:t>) отдел внутреннего аудита УАР выпустил рекомендации по аудиту для осуществления ЮНФПА в области защиты от сексуальной эксплуатации и сексуальных надругательств.</w:t>
      </w:r>
    </w:p>
    <w:p w14:paraId="50DE5D18" w14:textId="77777777" w:rsidR="00055BFC" w:rsidRPr="00487076" w:rsidRDefault="00055BFC" w:rsidP="00055BFC">
      <w:pPr>
        <w:pStyle w:val="Paraa"/>
        <w:numPr>
          <w:ilvl w:val="0"/>
          <w:numId w:val="0"/>
        </w:numPr>
        <w:ind w:left="720"/>
      </w:pPr>
      <w:r w:rsidRPr="00487076">
        <w:t>(g)</w:t>
      </w:r>
      <w:r w:rsidRPr="00487076">
        <w:tab/>
      </w:r>
      <w:r>
        <w:rPr>
          <w:i/>
        </w:rPr>
        <w:t>Уроки, извлеченные из расследований</w:t>
      </w:r>
      <w:r>
        <w:t xml:space="preserve">. В рамках расследований, проведенных в 2024 году, УАР консультировало конкретные отделы, отделения и страновые отделения ЮНФПА по мерам для защиты репутации, программ, фондов, бенефициаров и сотрудников. </w:t>
      </w:r>
    </w:p>
    <w:p w14:paraId="7DA65182" w14:textId="77777777" w:rsidR="00055BFC" w:rsidRPr="00487076" w:rsidRDefault="00055BFC" w:rsidP="00055BFC">
      <w:pPr>
        <w:pStyle w:val="Paraa"/>
        <w:numPr>
          <w:ilvl w:val="0"/>
          <w:numId w:val="0"/>
        </w:numPr>
        <w:ind w:left="720"/>
      </w:pPr>
      <w:r w:rsidRPr="00487076">
        <w:t>(h)</w:t>
      </w:r>
      <w:r w:rsidRPr="00487076">
        <w:tab/>
      </w:r>
      <w:r>
        <w:rPr>
          <w:i/>
        </w:rPr>
        <w:t>Участие в региональных совещаниях и семинарах</w:t>
      </w:r>
      <w:r>
        <w:t>. По приглашению региональных отделений УАР участвовало в региональных совещаниях с целью обмена опытом, полученным в ходе аудитов и расследований, и распространения информации о своих услугах.</w:t>
      </w:r>
    </w:p>
    <w:p w14:paraId="7091E8BA" w14:textId="77777777" w:rsidR="00055BFC" w:rsidRPr="00487076" w:rsidRDefault="00055BFC" w:rsidP="00055BFC">
      <w:pPr>
        <w:pStyle w:val="HeadI"/>
        <w:numPr>
          <w:ilvl w:val="0"/>
          <w:numId w:val="0"/>
        </w:numPr>
        <w:ind w:left="720" w:hanging="294"/>
      </w:pPr>
      <w:bookmarkStart w:id="64" w:name="_Toc196833163"/>
      <w:r w:rsidRPr="00487076">
        <w:rPr>
          <w:sz w:val="24"/>
          <w:szCs w:val="24"/>
        </w:rPr>
        <w:t>X.</w:t>
      </w:r>
      <w:r w:rsidRPr="00487076">
        <w:rPr>
          <w:sz w:val="24"/>
          <w:szCs w:val="24"/>
        </w:rPr>
        <w:tab/>
      </w:r>
      <w:r>
        <w:t>Надзор, мониторинг и координация деятельности по аудиту и расследованиям</w:t>
      </w:r>
      <w:bookmarkEnd w:id="64"/>
    </w:p>
    <w:p w14:paraId="289A1531" w14:textId="77777777" w:rsidR="00055BFC" w:rsidRPr="00487076" w:rsidRDefault="00055BFC" w:rsidP="00055BFC">
      <w:pPr>
        <w:pStyle w:val="Subheading"/>
        <w:numPr>
          <w:ilvl w:val="0"/>
          <w:numId w:val="0"/>
        </w:numPr>
        <w:ind w:left="1134" w:hanging="425"/>
      </w:pPr>
      <w:r w:rsidRPr="00487076">
        <w:t>a.</w:t>
      </w:r>
      <w:r w:rsidRPr="00487076">
        <w:tab/>
      </w:r>
      <w:r>
        <w:t>Внутренний контроль, координация и консультации</w:t>
      </w:r>
    </w:p>
    <w:p w14:paraId="3A2BC8C0" w14:textId="77777777" w:rsidR="00055BFC" w:rsidRPr="00487076" w:rsidRDefault="00055BFC" w:rsidP="00055BFC">
      <w:pPr>
        <w:pStyle w:val="Para1"/>
        <w:numPr>
          <w:ilvl w:val="0"/>
          <w:numId w:val="0"/>
        </w:numPr>
        <w:ind w:left="720" w:hanging="11"/>
      </w:pPr>
      <w:r w:rsidRPr="00487076">
        <w:t>94.</w:t>
      </w:r>
      <w:r w:rsidRPr="00487076">
        <w:tab/>
      </w:r>
      <w:r>
        <w:t>Консультативный комитетом по надзору (ККН) продолжал анализировать работу УАР в 2024 году и консультировать директора-исполнителя по вопросам выполнения его обязанностей в области подотчетности, управления рисками, внутреннего контроля, финансового управления и отчетности, а также процесса попечительского надзора, включая вопросы внешнего аудита, внутреннего аудита, функции расследования и оценки и этики. В 2024 году ККН предоставил директору УАР рекомендации по следующим вопросам. (</w:t>
      </w:r>
      <w:r>
        <w:rPr>
          <w:lang w:val="en-US"/>
        </w:rPr>
        <w:t>a</w:t>
      </w:r>
      <w:r>
        <w:t>) годовой план работы УАР на 2024 год и его выполнение, (</w:t>
      </w:r>
      <w:r>
        <w:rPr>
          <w:lang w:val="en-US"/>
        </w:rPr>
        <w:t>b</w:t>
      </w:r>
      <w:r>
        <w:t>) бюджет и штатное расписание УАР и (</w:t>
      </w:r>
      <w:r>
        <w:rPr>
          <w:lang w:val="en-US"/>
        </w:rPr>
        <w:t>c</w:t>
      </w:r>
      <w:r>
        <w:t xml:space="preserve">) годовой доклад УАР Исполнительному совету. Как и в предыдущие годы, ККН получил все аудиторские отчеты, опубликованные УАР в 2024 году. </w:t>
      </w:r>
    </w:p>
    <w:p w14:paraId="3CC14052" w14:textId="77777777" w:rsidR="00055BFC" w:rsidRPr="00487076" w:rsidRDefault="00055BFC" w:rsidP="00055BFC">
      <w:pPr>
        <w:pStyle w:val="Para1"/>
        <w:numPr>
          <w:ilvl w:val="0"/>
          <w:numId w:val="0"/>
        </w:numPr>
        <w:ind w:left="720" w:hanging="11"/>
      </w:pPr>
      <w:r w:rsidRPr="00487076">
        <w:t>95.</w:t>
      </w:r>
      <w:r w:rsidRPr="00487076">
        <w:tab/>
      </w:r>
      <w:r>
        <w:t>Комиссия ревизоров Организации Объединенных Наций координировала свои действия с УАР в целях максимального охвата аудита, избежания дублирования усилий и определения степени доверия к работе УАР в области внутренних проверок. В 2024 году при проведении ежегодной оценки рисков в качестве основы для подготовки плана аудита и графиков внутреннего аудита УАР координировало работу с Комиссией ревизоров Организации Объединенных Наций, принимая во внимание запланированные мероприятия Комиссии и результаты работы внешних аудиторов. В 2024 году УАР выполнило все, кроме двух, рекомендации по итогам аудитов, вынесенных в его адрес Комиссией ревизоров, и регулярно отчитывалась о проделанной работе перед Комитетом по надзору за соблюдением требований. В соответствии с практикой предыдущих лет все отчеты об аудитах за 2024 год доводились до сведения Комиссии ревизоров Организации Объединенных Наций, и в рамках официальных и неофициальных совещаний проводились консультации по вопросам, представляющим взаимный интерес, и существенным вопросам, возникающим в ходе аудитов и расследований.</w:t>
      </w:r>
    </w:p>
    <w:p w14:paraId="5CCD6A12" w14:textId="77777777" w:rsidR="00055BFC" w:rsidRPr="00487076" w:rsidRDefault="00055BFC" w:rsidP="00055BFC">
      <w:pPr>
        <w:pStyle w:val="Para1"/>
        <w:numPr>
          <w:ilvl w:val="0"/>
          <w:numId w:val="0"/>
        </w:numPr>
        <w:ind w:left="720" w:hanging="11"/>
      </w:pPr>
      <w:r w:rsidRPr="00487076">
        <w:t>96.</w:t>
      </w:r>
      <w:r w:rsidRPr="00487076">
        <w:tab/>
      </w:r>
      <w:r>
        <w:t>В сотрудничестве с Комитетом по контролю за соблюдением требований надзора УАР периодически рассматривало и проверяло соответствие и своевременность выполнения руководством всех рекомендаций внутреннего аудита и при необходимости подводило их итоги. Присутствие директора УАР в качестве должностного лица на ежемесячных заседаниях Комитета в течение 2024 года способствовало своевременному анализу прогресса, достигнутого руководством в выполнении рекомендаций внутреннего аудита, и при необходимости получению консультаций по их эффективному и надлежащему выполнению. Кроме того, УАР выполнило свою роль по проверке действий руководства по выполнению рекомендаций, вынесенных Объединенной инспекционной группой в прошлых отчетах, для закрытия соответствующих дел.</w:t>
      </w:r>
    </w:p>
    <w:p w14:paraId="4F6B1E0A" w14:textId="77777777" w:rsidR="00055BFC" w:rsidRPr="00487076" w:rsidRDefault="00055BFC" w:rsidP="00055BFC">
      <w:pPr>
        <w:pStyle w:val="Subheading"/>
        <w:numPr>
          <w:ilvl w:val="0"/>
          <w:numId w:val="0"/>
        </w:numPr>
        <w:ind w:left="1267" w:hanging="558"/>
      </w:pPr>
      <w:r w:rsidRPr="00487076">
        <w:t>b.</w:t>
      </w:r>
      <w:r w:rsidRPr="00487076">
        <w:tab/>
      </w:r>
      <w:r>
        <w:t>Внешняя координация и консультации</w:t>
      </w:r>
    </w:p>
    <w:p w14:paraId="5B6C35E1" w14:textId="77777777" w:rsidR="00055BFC" w:rsidRPr="00487076" w:rsidRDefault="00055BFC" w:rsidP="00055BFC">
      <w:pPr>
        <w:pStyle w:val="Para1"/>
        <w:numPr>
          <w:ilvl w:val="0"/>
          <w:numId w:val="0"/>
        </w:numPr>
        <w:ind w:left="720" w:hanging="11"/>
      </w:pPr>
      <w:bookmarkStart w:id="65" w:name="_heading=h.41mghml"/>
      <w:bookmarkEnd w:id="65"/>
      <w:r w:rsidRPr="00487076">
        <w:t>97.</w:t>
      </w:r>
      <w:r w:rsidRPr="00487076">
        <w:tab/>
      </w:r>
      <w:r>
        <w:t xml:space="preserve">В 2024 году УАР продолжило участие в межучрежденческих мероприятиях и встречах по внутреннему аудиту, участвуя в обмене практикой и опытом между службами внутреннего аудита организаций системы ООН, многосторонними финансовыми учреждениями и другими связанными с ними межправительственными организациями, например, UN-RIAS и Представители служб внутреннего аудита (RIAS). В июне 2024 года УАР провело очный семинар UN-RIAS по общим подходам и методологиям аудита и оценки зрелости системы общеорганизационного управления рисками. </w:t>
      </w:r>
    </w:p>
    <w:p w14:paraId="615BE72E" w14:textId="77777777" w:rsidR="00055BFC" w:rsidRPr="00487076" w:rsidRDefault="00055BFC" w:rsidP="00055BFC">
      <w:pPr>
        <w:pStyle w:val="Para1"/>
        <w:numPr>
          <w:ilvl w:val="0"/>
          <w:numId w:val="0"/>
        </w:numPr>
        <w:ind w:left="720" w:hanging="11"/>
      </w:pPr>
      <w:r w:rsidRPr="00487076">
        <w:t>98.</w:t>
      </w:r>
      <w:r w:rsidRPr="00487076">
        <w:tab/>
      </w:r>
      <w:r>
        <w:t>Кроме того, УАР продолжало активно участвовать в многочисленных межучрежденческих мероприятиях и совещаниях по вопросам расследований, включая участие в совещаниях Представителей служб расследований Организации Объединенных Наций (UN-RIS), рабочих групп, созванных UN-RIS, сосредоточенных на конкретных темах расследований, совещаниях с международными финансовыми учреждениями и Конференции международных экспертов по расследованиям. УАР также продолжало активно участвовать в важнейших межучрежденческих мероприятиях, касающихся сексуальной эксплуатации и сексуальных надругательств, сексуальных домогательств и цифровой криминалистики, включая, в частности, управление разработкой документа</w:t>
      </w:r>
      <w:r>
        <w:rPr>
          <w:i/>
        </w:rPr>
        <w:t xml:space="preserve"> «Руководство для экспертов по расследованиям МПК</w:t>
      </w:r>
      <w:r>
        <w:t>.</w:t>
      </w:r>
      <w:r>
        <w:rPr>
          <w:i/>
        </w:rPr>
        <w:t xml:space="preserve"> Расследование случаев сексуальной эксплуатации и сексуальных надругательств с использованием подхода, ориентированного на помощь пострадавшим»</w:t>
      </w:r>
      <w:r>
        <w:t>.</w:t>
      </w:r>
    </w:p>
    <w:p w14:paraId="1DC0C5E0" w14:textId="77777777" w:rsidR="00055BFC" w:rsidRPr="00487076" w:rsidRDefault="00055BFC" w:rsidP="00055BFC">
      <w:pPr>
        <w:pStyle w:val="HeadI"/>
        <w:numPr>
          <w:ilvl w:val="0"/>
          <w:numId w:val="0"/>
        </w:numPr>
        <w:ind w:left="720" w:hanging="294"/>
      </w:pPr>
      <w:bookmarkStart w:id="66" w:name="_Toc196833164"/>
      <w:r w:rsidRPr="00487076">
        <w:rPr>
          <w:sz w:val="24"/>
          <w:szCs w:val="24"/>
        </w:rPr>
        <w:t>XI.</w:t>
      </w:r>
      <w:r w:rsidRPr="00487076">
        <w:rPr>
          <w:sz w:val="24"/>
          <w:szCs w:val="24"/>
        </w:rPr>
        <w:tab/>
      </w:r>
      <w:r>
        <w:t>Другие мероприятия, проведенные в 2024 году</w:t>
      </w:r>
      <w:bookmarkEnd w:id="66"/>
    </w:p>
    <w:p w14:paraId="0773E703" w14:textId="77777777" w:rsidR="00055BFC" w:rsidRPr="00487076" w:rsidRDefault="00055BFC" w:rsidP="00055BFC">
      <w:pPr>
        <w:pStyle w:val="Para1"/>
        <w:numPr>
          <w:ilvl w:val="0"/>
          <w:numId w:val="0"/>
        </w:numPr>
        <w:ind w:left="720" w:hanging="11"/>
      </w:pPr>
      <w:r w:rsidRPr="00487076">
        <w:t>99.</w:t>
      </w:r>
      <w:r w:rsidRPr="00487076">
        <w:tab/>
      </w:r>
      <w:r>
        <w:t>УАР предприняло ряд инициатив, направленных на повышение наглядности своей деятельности и улучшение качества услуг, а также на распространение уроков, извлеченных в ходе аудитов и расследований. В частности, УАР:</w:t>
      </w:r>
    </w:p>
    <w:p w14:paraId="04722041" w14:textId="77777777" w:rsidR="00055BFC" w:rsidRPr="00487076" w:rsidRDefault="00055BFC" w:rsidP="00055BFC">
      <w:pPr>
        <w:pStyle w:val="Paraa"/>
        <w:numPr>
          <w:ilvl w:val="0"/>
          <w:numId w:val="0"/>
        </w:numPr>
        <w:ind w:left="720"/>
      </w:pPr>
      <w:r w:rsidRPr="00487076">
        <w:t>(a)</w:t>
      </w:r>
      <w:r w:rsidRPr="00487076">
        <w:tab/>
      </w:r>
      <w:r>
        <w:t xml:space="preserve">Обновило и официально выпустило всеобъемлющее руководство по аудиту УАР и стандартные операционные процедуры. Содержащиеся в них усовершенствованные процедуры аудита значительно повысили эффективность рабочего процесса, что привело к своевременному выпуску аудиторских отчетов; </w:t>
      </w:r>
    </w:p>
    <w:p w14:paraId="294C2000" w14:textId="77777777" w:rsidR="00055BFC" w:rsidRPr="00487076" w:rsidRDefault="00055BFC" w:rsidP="00055BFC">
      <w:pPr>
        <w:pStyle w:val="Paraa"/>
        <w:numPr>
          <w:ilvl w:val="0"/>
          <w:numId w:val="0"/>
        </w:numPr>
        <w:ind w:left="720" w:hanging="14"/>
      </w:pPr>
      <w:r w:rsidRPr="00487076">
        <w:t>(b)</w:t>
      </w:r>
      <w:r w:rsidRPr="00487076">
        <w:tab/>
      </w:r>
      <w:r>
        <w:t>Успешно выпустило ежеквартальный информационный бюллетень УАР для информирования организации о своей деятельности и о событиях в областях профессиональных услуг УАР и других инициативах;</w:t>
      </w:r>
    </w:p>
    <w:p w14:paraId="6874774A" w14:textId="77777777" w:rsidR="00055BFC" w:rsidRPr="00487076" w:rsidRDefault="00055BFC" w:rsidP="00055BFC">
      <w:pPr>
        <w:pStyle w:val="Paraa"/>
        <w:numPr>
          <w:ilvl w:val="0"/>
          <w:numId w:val="0"/>
        </w:numPr>
        <w:ind w:left="720" w:hanging="14"/>
      </w:pPr>
      <w:r w:rsidRPr="00487076">
        <w:t>(c)</w:t>
      </w:r>
      <w:r w:rsidRPr="00487076">
        <w:tab/>
      </w:r>
      <w:r>
        <w:t xml:space="preserve">Запустило дорожную карту по управлению данными и аналитике УАР, включающую ключевые инициативы по автоматизированному анализу соответствия документов, извлечению и запросу данных </w:t>
      </w:r>
      <w:proofErr w:type="gramStart"/>
      <w:r>
        <w:t>аудита (чат-бот)</w:t>
      </w:r>
      <w:proofErr w:type="gramEnd"/>
      <w:r>
        <w:t xml:space="preserve"> и обнаружению аномалий в системных журналах для потенциального расследования;</w:t>
      </w:r>
    </w:p>
    <w:p w14:paraId="5711432C" w14:textId="77777777" w:rsidR="00055BFC" w:rsidRPr="00487076" w:rsidRDefault="00055BFC" w:rsidP="00055BFC">
      <w:pPr>
        <w:pStyle w:val="Paraa"/>
        <w:numPr>
          <w:ilvl w:val="0"/>
          <w:numId w:val="0"/>
        </w:numPr>
        <w:ind w:left="720" w:hanging="14"/>
      </w:pPr>
      <w:r w:rsidRPr="00487076">
        <w:t>(d)</w:t>
      </w:r>
      <w:r w:rsidRPr="00487076">
        <w:tab/>
      </w:r>
      <w:r>
        <w:t xml:space="preserve">Провело закрытые заседания с Исполнительным советом в феврале и мае 2024 года для представления информации о ходе осуществления плана аудита на 2024 год, а также о ключевых возникающих рисках и проблемах, выявленных в ходе аудитов, проведенных в 2024 году, и приняло участие в ознакомительной встрече Исполнительного совета 2024 года; </w:t>
      </w:r>
    </w:p>
    <w:p w14:paraId="4C4AE166" w14:textId="77777777" w:rsidR="00055BFC" w:rsidRPr="00487076" w:rsidRDefault="00055BFC" w:rsidP="00055BFC">
      <w:pPr>
        <w:pStyle w:val="Paraa"/>
        <w:numPr>
          <w:ilvl w:val="0"/>
          <w:numId w:val="0"/>
        </w:numPr>
        <w:ind w:left="720" w:hanging="14"/>
      </w:pPr>
      <w:r w:rsidRPr="00487076">
        <w:t>(e)</w:t>
      </w:r>
      <w:r w:rsidRPr="00487076">
        <w:tab/>
      </w:r>
      <w:r>
        <w:t xml:space="preserve">Внесло вклад в работу подразделения ЮНФПА в области защиты от сексуальной эксплуатации и сексуальных надругательств и межучрежденческие усилия по улучшению практики проведения расследований в области защиты от сексуальной эксплуатации и сексуальных надругательств во всем секторе; </w:t>
      </w:r>
    </w:p>
    <w:p w14:paraId="6FB5EDE7" w14:textId="77777777" w:rsidR="00055BFC" w:rsidRPr="00487076" w:rsidRDefault="00055BFC" w:rsidP="00055BFC">
      <w:pPr>
        <w:pStyle w:val="Paraa"/>
        <w:numPr>
          <w:ilvl w:val="0"/>
          <w:numId w:val="0"/>
        </w:numPr>
        <w:ind w:left="720" w:hanging="14"/>
      </w:pPr>
      <w:r w:rsidRPr="00487076">
        <w:t>(f)</w:t>
      </w:r>
      <w:r w:rsidRPr="00487076">
        <w:tab/>
      </w:r>
      <w:r>
        <w:t xml:space="preserve">Создало цифровую криминалистическую базу, позволяющую проводить удаленную криминалистическую экспертизу изъятых ИКТ-активов, и начало изучать возможности использования искусственного интеллекта в расследованиях; </w:t>
      </w:r>
    </w:p>
    <w:p w14:paraId="3174ADAE" w14:textId="77777777" w:rsidR="00055BFC" w:rsidRPr="00487076" w:rsidRDefault="00055BFC" w:rsidP="00055BFC">
      <w:pPr>
        <w:pStyle w:val="Paraa"/>
        <w:numPr>
          <w:ilvl w:val="0"/>
          <w:numId w:val="0"/>
        </w:numPr>
        <w:ind w:left="720" w:hanging="14"/>
      </w:pPr>
      <w:r w:rsidRPr="00487076">
        <w:t>(g)</w:t>
      </w:r>
      <w:r w:rsidRPr="00487076">
        <w:tab/>
      </w:r>
      <w:r>
        <w:t>Приняло участие в качестве члена группы в проведении внешнего обзора качества работы Управления по проведению расследований Панамериканской организации здравоохранения. Этот опыт окажется полезным для УАР, когда в 2025 году будет проведен внешний обзор качества работы отдела расследований; и</w:t>
      </w:r>
    </w:p>
    <w:p w14:paraId="6437C24D" w14:textId="77777777" w:rsidR="00055BFC" w:rsidRPr="00487076" w:rsidRDefault="00055BFC" w:rsidP="00055BFC">
      <w:pPr>
        <w:pStyle w:val="Paraa"/>
        <w:numPr>
          <w:ilvl w:val="0"/>
          <w:numId w:val="0"/>
        </w:numPr>
        <w:ind w:left="720" w:hanging="14"/>
      </w:pPr>
      <w:r w:rsidRPr="00487076">
        <w:t>(h)</w:t>
      </w:r>
      <w:r w:rsidRPr="00487076">
        <w:tab/>
      </w:r>
      <w:r>
        <w:t>Провело два расследования в отношении сотрудников Международного валютного фонда (МВФ) по запросу Управления внутренних расследований МВФ, что демонстрирует доверие к экспертам по расследованиям УАР.</w:t>
      </w:r>
    </w:p>
    <w:p w14:paraId="4A25F8DC" w14:textId="77777777" w:rsidR="00055BFC" w:rsidRPr="00487076" w:rsidRDefault="00055BFC" w:rsidP="00055BFC">
      <w:pPr>
        <w:pStyle w:val="HeadI"/>
        <w:numPr>
          <w:ilvl w:val="0"/>
          <w:numId w:val="0"/>
        </w:numPr>
        <w:ind w:left="720" w:hanging="294"/>
      </w:pPr>
      <w:bookmarkStart w:id="67" w:name="_Toc131023730"/>
      <w:bookmarkStart w:id="68" w:name="_Toc130927423"/>
      <w:bookmarkStart w:id="69" w:name="_Toc196833165"/>
      <w:bookmarkEnd w:id="67"/>
      <w:bookmarkEnd w:id="68"/>
      <w:r w:rsidRPr="00487076">
        <w:rPr>
          <w:sz w:val="24"/>
          <w:szCs w:val="24"/>
        </w:rPr>
        <w:t>XII.</w:t>
      </w:r>
      <w:r w:rsidRPr="00487076">
        <w:rPr>
          <w:sz w:val="24"/>
          <w:szCs w:val="24"/>
        </w:rPr>
        <w:tab/>
      </w:r>
      <w:r>
        <w:t>Обзор годовых планов работы УАР на 2025 год</w:t>
      </w:r>
      <w:bookmarkEnd w:id="69"/>
    </w:p>
    <w:p w14:paraId="2DC8F78D" w14:textId="77777777" w:rsidR="00055BFC" w:rsidRPr="00487076" w:rsidRDefault="00055BFC" w:rsidP="00055BFC">
      <w:pPr>
        <w:pStyle w:val="HeadA"/>
        <w:numPr>
          <w:ilvl w:val="0"/>
          <w:numId w:val="0"/>
        </w:numPr>
        <w:ind w:left="360" w:hanging="360"/>
      </w:pPr>
      <w:bookmarkStart w:id="70" w:name="_Toc196833166"/>
      <w:r w:rsidRPr="00487076">
        <w:t>A.</w:t>
      </w:r>
      <w:r w:rsidRPr="00487076">
        <w:tab/>
      </w:r>
      <w:r>
        <w:t>Рабочий план внутреннего аудита</w:t>
      </w:r>
      <w:bookmarkEnd w:id="70"/>
    </w:p>
    <w:p w14:paraId="11CD97B8" w14:textId="77777777" w:rsidR="00055BFC" w:rsidRPr="00487076" w:rsidRDefault="00055BFC" w:rsidP="00055BFC">
      <w:pPr>
        <w:pStyle w:val="Para1"/>
        <w:numPr>
          <w:ilvl w:val="0"/>
          <w:numId w:val="0"/>
        </w:numPr>
        <w:ind w:left="720" w:hanging="11"/>
      </w:pPr>
      <w:r w:rsidRPr="00487076">
        <w:t>100.</w:t>
      </w:r>
      <w:r w:rsidRPr="00487076">
        <w:tab/>
      </w:r>
      <w:r>
        <w:t>УАР продолжало совершенствовать методологию оценки аудиторских рисков, на основе которой составляются годовой и четырехлетний переходящие планы аудита на 2025 год, посредством следующих мероприятий: (</w:t>
      </w:r>
      <w:r>
        <w:rPr>
          <w:lang w:val="en-US"/>
        </w:rPr>
        <w:t>a</w:t>
      </w:r>
      <w:r>
        <w:t>) определение аудиторской системы и ее разбивка на «проверяемые объекты», т. е. бизнес-процессы и организационные подразделения, которые их осуществляют; (</w:t>
      </w:r>
      <w:r>
        <w:rPr>
          <w:lang w:val="en-US"/>
        </w:rPr>
        <w:t>b</w:t>
      </w:r>
      <w:r>
        <w:t>) выявление и измерение факторов риска, влияющих на проверяемые объекты; (</w:t>
      </w:r>
      <w:r>
        <w:rPr>
          <w:lang w:val="en-US"/>
        </w:rPr>
        <w:t>c</w:t>
      </w:r>
      <w:r>
        <w:t>) определение приоритетности результатов с помощью рейтинга риска на основе воздействия и вероятности с использованием четырех квартилей уровней риска (т. е. высокий, средне-высокий, средне-низкий и низкий); (</w:t>
      </w:r>
      <w:r>
        <w:rPr>
          <w:lang w:val="en-US"/>
        </w:rPr>
        <w:t>d</w:t>
      </w:r>
      <w:r>
        <w:t>) учет результатов внешних аудитов и аудиторских проверок / обеспечения гарантий, проведенных структурными подразделениями организации, включая оценку тенденций в отношении инициированных и завершенных расследований; (</w:t>
      </w:r>
      <w:r>
        <w:rPr>
          <w:lang w:val="en-US"/>
        </w:rPr>
        <w:t>e</w:t>
      </w:r>
      <w:r>
        <w:t>) учет потребностей заинтересованных сторон в гарантиях и решений Исполнительного совета; и, в частности, (</w:t>
      </w:r>
      <w:r>
        <w:rPr>
          <w:lang w:val="en-US"/>
        </w:rPr>
        <w:t>f</w:t>
      </w:r>
      <w:r>
        <w:t>) уточнение количественных показателей, используемых при оценке рисков, с целью использования расширенных источников данных в Quantum.</w:t>
      </w:r>
    </w:p>
    <w:p w14:paraId="174229DD" w14:textId="77777777" w:rsidR="00055BFC" w:rsidRPr="00487076" w:rsidRDefault="00055BFC" w:rsidP="00055BFC">
      <w:pPr>
        <w:pStyle w:val="Para1"/>
        <w:numPr>
          <w:ilvl w:val="0"/>
          <w:numId w:val="0"/>
        </w:numPr>
        <w:ind w:left="720" w:hanging="11"/>
      </w:pPr>
      <w:r w:rsidRPr="00487076">
        <w:t>101.</w:t>
      </w:r>
      <w:r w:rsidRPr="00487076">
        <w:tab/>
      </w:r>
      <w:r>
        <w:t xml:space="preserve">Обновленный четырехлетний переходящий план внутреннего аудита на 2025–2028 годы стал основой для плана внутреннего аудита на 2025 год, который включает 33 мероприятия — 7 аудитов рабочих процессов (пять с высоким риском, два со средним риском); один аудит регионального отделения (со средне-низким риском); и 25 аудитов страновых отделений (шесть с высоким риском, семь со средне-высоким риском, шесть со средне-низким риском и шесть с низким риском). </w:t>
      </w:r>
    </w:p>
    <w:p w14:paraId="604CC9B7" w14:textId="77777777" w:rsidR="00055BFC" w:rsidRPr="00487076" w:rsidRDefault="00055BFC" w:rsidP="00055BFC">
      <w:pPr>
        <w:pStyle w:val="Para1"/>
        <w:numPr>
          <w:ilvl w:val="0"/>
          <w:numId w:val="0"/>
        </w:numPr>
        <w:ind w:left="720" w:hanging="11"/>
      </w:pPr>
      <w:r w:rsidRPr="00487076">
        <w:t>102.</w:t>
      </w:r>
      <w:r w:rsidRPr="00487076">
        <w:tab/>
      </w:r>
      <w:r>
        <w:t xml:space="preserve">Кроме того, в четвертом квартале 2025 года УАР подготовит обзорный отчет, чтобы выявить общие темы, возникающие в ходе аудитов страновых отделений, которые могут потребовать системных решений. </w:t>
      </w:r>
    </w:p>
    <w:p w14:paraId="7CE367CA" w14:textId="77777777" w:rsidR="00055BFC" w:rsidRPr="00487076" w:rsidRDefault="00055BFC" w:rsidP="00055BFC">
      <w:pPr>
        <w:pStyle w:val="Para1"/>
        <w:numPr>
          <w:ilvl w:val="0"/>
          <w:numId w:val="0"/>
        </w:numPr>
        <w:ind w:left="720" w:hanging="11"/>
      </w:pPr>
      <w:r w:rsidRPr="00487076">
        <w:t>103.</w:t>
      </w:r>
      <w:r w:rsidRPr="00487076">
        <w:tab/>
      </w:r>
      <w:r>
        <w:t>В планах на 2025 год (годовой план и четырехлетний переходящий план) учитываются следующие требования к УАР.</w:t>
      </w:r>
    </w:p>
    <w:p w14:paraId="3B11A951" w14:textId="77777777" w:rsidR="00055BFC" w:rsidRPr="00487076" w:rsidRDefault="00055BFC" w:rsidP="00055BFC">
      <w:pPr>
        <w:pStyle w:val="Paraa"/>
        <w:numPr>
          <w:ilvl w:val="0"/>
          <w:numId w:val="0"/>
        </w:numPr>
        <w:ind w:left="720"/>
      </w:pPr>
      <w:r w:rsidRPr="00487076">
        <w:t>(a)</w:t>
      </w:r>
      <w:r w:rsidRPr="00487076">
        <w:tab/>
      </w:r>
      <w:r>
        <w:t>Выполнение и реализация текущей стратегии аудита в соответствии с потребностями высшего руководства и заинтересованных сторон, а также решениями Исполнительного совета о проведении аудита подразделений с высоким уровнем риска в течение трехлетнего цикла и подразделений со средним и низким уровнем риска в течение 7–10 лет. В подразделениях с низким уровнем риска будет проведен дистанционный, гибридный и смежный аудит, в зависимости от ситуации. К основным бизнес-процессам и ИКТ с высоким уровнем риска будут применяться специальные подходы; и</w:t>
      </w:r>
    </w:p>
    <w:p w14:paraId="2F9968DC" w14:textId="77777777" w:rsidR="00055BFC" w:rsidRPr="00487076" w:rsidRDefault="00055BFC" w:rsidP="00055BFC">
      <w:pPr>
        <w:pStyle w:val="Paraa"/>
        <w:numPr>
          <w:ilvl w:val="0"/>
          <w:numId w:val="0"/>
        </w:numPr>
        <w:ind w:left="720" w:hanging="14"/>
      </w:pPr>
      <w:r w:rsidRPr="00487076">
        <w:t>(b)</w:t>
      </w:r>
      <w:r w:rsidRPr="00487076">
        <w:tab/>
      </w:r>
      <w:r>
        <w:t>Использование имеющихся кадровых или человеческих ресурсов и финансовых ассигнований из институционального бюджета для УАР. Впервые за много лет УАР практически полностью укомплектовало штат своей группы внутреннего аудита после успешных согласованных усилий по набору соответствующих специалистов.</w:t>
      </w:r>
    </w:p>
    <w:p w14:paraId="2B5890FF" w14:textId="77777777" w:rsidR="00055BFC" w:rsidRPr="00487076" w:rsidRDefault="00055BFC" w:rsidP="00055BFC">
      <w:pPr>
        <w:pStyle w:val="HeadA"/>
        <w:numPr>
          <w:ilvl w:val="0"/>
          <w:numId w:val="0"/>
        </w:numPr>
        <w:ind w:left="734" w:hanging="590"/>
      </w:pPr>
      <w:bookmarkStart w:id="71" w:name="_Toc196833167"/>
      <w:r w:rsidRPr="00487076">
        <w:t>B.</w:t>
      </w:r>
      <w:r w:rsidRPr="00487076">
        <w:tab/>
      </w:r>
      <w:r>
        <w:t>Рабочий план по расследованиям</w:t>
      </w:r>
      <w:bookmarkEnd w:id="71"/>
    </w:p>
    <w:p w14:paraId="7FBF4EA4" w14:textId="77777777" w:rsidR="00055BFC" w:rsidRPr="00487076" w:rsidRDefault="00055BFC" w:rsidP="00055BFC">
      <w:pPr>
        <w:pStyle w:val="Para1"/>
        <w:numPr>
          <w:ilvl w:val="0"/>
          <w:numId w:val="0"/>
        </w:numPr>
        <w:ind w:left="720" w:hanging="11"/>
      </w:pPr>
      <w:r w:rsidRPr="00487076">
        <w:t>104.</w:t>
      </w:r>
      <w:r w:rsidRPr="00487076">
        <w:tab/>
      </w:r>
      <w:r>
        <w:t>В 2025 году отдел расследований УАР сосредоточит свои усилия на пяти приоритетных направлениях работы и целях, достижение которых запланировано к 31 декабря 2025 года: (</w:t>
      </w:r>
      <w:r>
        <w:rPr>
          <w:lang w:val="en-US"/>
        </w:rPr>
        <w:t>a</w:t>
      </w:r>
      <w:r>
        <w:t>) стратегическая приоритизация и сокращение числа дел; (</w:t>
      </w:r>
      <w:r>
        <w:rPr>
          <w:lang w:val="en-US"/>
        </w:rPr>
        <w:t>b</w:t>
      </w:r>
      <w:r>
        <w:t>) совершенствование процесса и практики проведения расследований; (</w:t>
      </w:r>
      <w:r>
        <w:rPr>
          <w:lang w:val="en-US"/>
        </w:rPr>
        <w:t>c</w:t>
      </w:r>
      <w:r>
        <w:t>) введение в действие подхода УАР к расследованию сексуальных преследований; (</w:t>
      </w:r>
      <w:r>
        <w:rPr>
          <w:lang w:val="en-US"/>
        </w:rPr>
        <w:t>d</w:t>
      </w:r>
      <w:r>
        <w:t>) разработка системы раскрытия информации и взаимодействия с донорами; и (</w:t>
      </w:r>
      <w:r>
        <w:rPr>
          <w:lang w:val="en-US"/>
        </w:rPr>
        <w:t>e</w:t>
      </w:r>
      <w:r>
        <w:t xml:space="preserve">) партнерство по обеспечению сохранности товаров. </w:t>
      </w:r>
    </w:p>
    <w:p w14:paraId="6938D8C5" w14:textId="77777777" w:rsidR="00055BFC" w:rsidRPr="00487076" w:rsidRDefault="00055BFC" w:rsidP="00055BFC">
      <w:pPr>
        <w:pStyle w:val="Para1"/>
        <w:numPr>
          <w:ilvl w:val="0"/>
          <w:numId w:val="0"/>
        </w:numPr>
        <w:ind w:left="720" w:hanging="11"/>
      </w:pPr>
      <w:r w:rsidRPr="00487076">
        <w:t>105.</w:t>
      </w:r>
      <w:r w:rsidRPr="00487076">
        <w:tab/>
      </w:r>
      <w:r>
        <w:t xml:space="preserve">Эти пять направлений работы были тщательно продуманы и выбраны с учетом извлеченных уроков и успехов в работе над расследованиями УАР в 2024 году. Цели основаны на текущей рабочей нагрузке, кадровой ситуации, организационных приоритетах и стратегическом направлении работы ЮНФПА, а также на совершенствующейся практике и стандартах международных расследований. Области расследования включают в себя следующее: </w:t>
      </w:r>
    </w:p>
    <w:p w14:paraId="44E0ECAF" w14:textId="77777777" w:rsidR="00055BFC" w:rsidRPr="00487076" w:rsidRDefault="00055BFC" w:rsidP="00055BFC">
      <w:pPr>
        <w:pStyle w:val="Paraa"/>
        <w:numPr>
          <w:ilvl w:val="0"/>
          <w:numId w:val="0"/>
        </w:numPr>
        <w:ind w:left="720"/>
      </w:pPr>
      <w:r w:rsidRPr="00487076">
        <w:t>(a)</w:t>
      </w:r>
      <w:r w:rsidRPr="00487076">
        <w:tab/>
      </w:r>
      <w:r>
        <w:rPr>
          <w:i/>
        </w:rPr>
        <w:t>Стратегическая приоритизация и сокращение числа дел</w:t>
      </w:r>
      <w:r>
        <w:t xml:space="preserve">. В 2024 году УАР значительно сократило количество нерассмотренных дел, закрыв все оставшиеся дела 2017 и </w:t>
      </w:r>
      <w:proofErr w:type="gramStart"/>
      <w:r>
        <w:t>2018 годов</w:t>
      </w:r>
      <w:proofErr w:type="gramEnd"/>
      <w:r>
        <w:t xml:space="preserve"> и 80 процентов дел 2019 года. Опираясь на этот результат, в 2025 году УАР планирует закрыть все оставшиеся дела 2019, 2020 и 2021 годов к концу четвертого квартала. Кроме того, в непосредственной связи с этой целью будет поставлена дополнительная задача — сократить среднюю продолжительность закрытия расследования до 12 месяцев.</w:t>
      </w:r>
    </w:p>
    <w:p w14:paraId="03E4DDBB" w14:textId="77777777" w:rsidR="00055BFC" w:rsidRPr="00487076" w:rsidRDefault="00055BFC" w:rsidP="00055BFC">
      <w:pPr>
        <w:pStyle w:val="Paraa"/>
        <w:numPr>
          <w:ilvl w:val="0"/>
          <w:numId w:val="0"/>
        </w:numPr>
        <w:ind w:left="720"/>
      </w:pPr>
      <w:r w:rsidRPr="00487076">
        <w:t>(b)</w:t>
      </w:r>
      <w:r w:rsidRPr="00487076">
        <w:tab/>
      </w:r>
      <w:r>
        <w:rPr>
          <w:i/>
        </w:rPr>
        <w:t>Усовершенствование процесса и практики расследований</w:t>
      </w:r>
      <w:r>
        <w:t xml:space="preserve">. В соответствии с выпущенным в 2024 году Руководстве по расследованиям УАР, отдел доработает или подготовит шаблоны и разработает новые стандартные оперативные процедуры, касающиеся ключевых областей или этапов работы по расследованиям, таких как прием дел, подтверждение жалобы, доступ к записям (включая доступ к записям электронной почты), уведомление субъекта о проведении официального расследования, уведомление о закрытии дела и передача дела на рассмотрение. Кроме того, в 2025 году УАР начнет использовать ИИ в своей работе по расследованиям, в частности разрабатывать инструменты для приема, анализа дел, выявления и прогнозирования закономерностей. </w:t>
      </w:r>
    </w:p>
    <w:p w14:paraId="7E1AEE7A" w14:textId="77777777" w:rsidR="00055BFC" w:rsidRPr="00487076" w:rsidRDefault="00055BFC" w:rsidP="00055BFC">
      <w:pPr>
        <w:pStyle w:val="Paraa"/>
        <w:numPr>
          <w:ilvl w:val="0"/>
          <w:numId w:val="0"/>
        </w:numPr>
        <w:ind w:left="720"/>
      </w:pPr>
      <w:r w:rsidRPr="00487076">
        <w:t>(c)</w:t>
      </w:r>
      <w:r w:rsidRPr="00487076">
        <w:tab/>
      </w:r>
      <w:r>
        <w:rPr>
          <w:i/>
        </w:rPr>
        <w:t>Формирование подхода УАР к расследованию сексуальных преследований</w:t>
      </w:r>
      <w:r>
        <w:t xml:space="preserve">. В 2025 году отдел расследований УАР разработает множество инструментов в поддержку своего подхода, ориентированного на помощь пострадавшим. В их число будет входить контрольный перечень, концептуальную записку и (или) инструкцию по использованию ИИ в ключевых практиках подхода, ориентированного на помощь пострадавшим, таких как постоянное взаимодействие с пострадавшими, определение соответствующих служб поддержки, быстрое протоколирование интервью и т. д. Кроме того, УАР будет сотрудничать с отделением по защите прав жертв в проведении вебинаров или тренингов для всех сотрудников по использованию подхода, учитывающего травмы, при проведении расследований. УАР также организует группу по расследованию сексуальных преследований, которая будет периодически встречаться, участвовать в межучрежденческих форумах и следить за изменениями и практикой в широкой сфере защиты от сексуальной эксплуатации и сексуальных надругательств. </w:t>
      </w:r>
    </w:p>
    <w:p w14:paraId="6A3BAA37" w14:textId="77777777" w:rsidR="00055BFC" w:rsidRPr="00487076" w:rsidRDefault="00055BFC" w:rsidP="00055BFC">
      <w:pPr>
        <w:pStyle w:val="Paraa"/>
        <w:numPr>
          <w:ilvl w:val="0"/>
          <w:numId w:val="0"/>
        </w:numPr>
        <w:ind w:left="720"/>
      </w:pPr>
      <w:r w:rsidRPr="00487076">
        <w:t>(d)</w:t>
      </w:r>
      <w:r w:rsidRPr="00487076">
        <w:tab/>
      </w:r>
      <w:r>
        <w:rPr>
          <w:i/>
        </w:rPr>
        <w:t>Схема раскрытия информации и взаимодействия с донорами</w:t>
      </w:r>
      <w:r>
        <w:t xml:space="preserve">. В рамках усилий по обеспечению прозрачности деятельности ЮНФПА в 2025 году УАР разработает систему раскрытия информации и взаимодействия с донорами. В частности, УАР разработает структуру, предлагающую формы раскрытия и обновления информации о делах (например, ежеквартальные или двухгодичные встречи с группами доноров), которые позволят сократить объем работы по обновлению информации о делах отдельных доноров, удовлетворяя при этом потребности доноров в раскрытии информации. </w:t>
      </w:r>
    </w:p>
    <w:p w14:paraId="0DFDEF67" w14:textId="77777777" w:rsidR="00055BFC" w:rsidRPr="00487076" w:rsidRDefault="00055BFC" w:rsidP="00055BFC">
      <w:pPr>
        <w:pStyle w:val="Paraa"/>
        <w:numPr>
          <w:ilvl w:val="0"/>
          <w:numId w:val="0"/>
        </w:numPr>
        <w:ind w:left="720"/>
      </w:pPr>
      <w:r w:rsidRPr="00487076">
        <w:t>(e)</w:t>
      </w:r>
      <w:r w:rsidRPr="00487076">
        <w:tab/>
      </w:r>
      <w:r>
        <w:rPr>
          <w:i/>
        </w:rPr>
        <w:t>Партнерство по обеспечению сохранности товаров</w:t>
      </w:r>
      <w:r>
        <w:t>. Доставка товаров для программ ЮНФПА и товаров для охраны сексуального и репродуктивного здоровья остается одним из центральных аспектов программ ЮНФПА. Опыт работы и консультаций УАР в 2024 году с группой обеспечения гарантий «до последнего этапа» ЮНФПА, страновыми отделениями, поставщиками и продавцами, частными специализированными компаниями, ориентированными на соблюдение нормативных требований, показал, что обеспечение сохранности товаров ЮНФПА лучше всего достигается в рамках совместной работы нескольких партнеров. Соответственно, УАР продолжит работу над обеспечением более глубокого и подробного понимания причин возникновения сбоев в защите товаров и определением того, как лучше всего обеспечить целостность закупок и распределения товаров ЮНФПА. Конкретные цели включают: (i) заключение договора со специализированной структурой для проведения проверок по обеспечению качества товаров медицинского назначения к концу второго квартала; (</w:t>
      </w:r>
      <w:proofErr w:type="spellStart"/>
      <w:r>
        <w:t>ii</w:t>
      </w:r>
      <w:proofErr w:type="spellEnd"/>
      <w:r>
        <w:t>) разработку стандартных операционных процедур по юрисдикционной ответственности к концу третьего квартала; и (</w:t>
      </w:r>
      <w:proofErr w:type="spellStart"/>
      <w:r>
        <w:t>iii</w:t>
      </w:r>
      <w:proofErr w:type="spellEnd"/>
      <w:r>
        <w:t>) созыв многостороннего семинара, направленного на понимание и поиск решений проблем, связанных с обеспечением гарантий качества товаров.</w:t>
      </w:r>
    </w:p>
    <w:p w14:paraId="61D5F9B7" w14:textId="77777777" w:rsidR="00055BFC" w:rsidRPr="00487076" w:rsidRDefault="00055BFC" w:rsidP="00055BFC">
      <w:pPr>
        <w:pStyle w:val="HeadI"/>
        <w:numPr>
          <w:ilvl w:val="0"/>
          <w:numId w:val="0"/>
        </w:numPr>
        <w:ind w:left="720" w:hanging="294"/>
      </w:pPr>
      <w:bookmarkStart w:id="72" w:name="_heading=h.35nkun2"/>
      <w:bookmarkStart w:id="73" w:name="_Toc196833168"/>
      <w:bookmarkEnd w:id="72"/>
      <w:r w:rsidRPr="00487076">
        <w:rPr>
          <w:sz w:val="24"/>
          <w:szCs w:val="24"/>
        </w:rPr>
        <w:t>XIII.</w:t>
      </w:r>
      <w:r w:rsidRPr="00487076">
        <w:rPr>
          <w:sz w:val="24"/>
          <w:szCs w:val="24"/>
        </w:rPr>
        <w:tab/>
      </w:r>
      <w:r>
        <w:t>Перспективы</w:t>
      </w:r>
      <w:bookmarkEnd w:id="73"/>
    </w:p>
    <w:p w14:paraId="68D9BD44" w14:textId="77777777" w:rsidR="00055BFC" w:rsidRPr="00487076" w:rsidRDefault="00055BFC" w:rsidP="00055BFC">
      <w:pPr>
        <w:pStyle w:val="Para1"/>
        <w:numPr>
          <w:ilvl w:val="0"/>
          <w:numId w:val="0"/>
        </w:numPr>
        <w:ind w:left="720" w:hanging="11"/>
      </w:pPr>
      <w:r w:rsidRPr="00487076">
        <w:t>106.</w:t>
      </w:r>
      <w:r w:rsidRPr="00487076">
        <w:tab/>
      </w:r>
      <w:r>
        <w:t>УАР продолжает стремиться к использованию науки о данных для улучшения надзорной деятельности. Используя передовые методы аналитики, искусственного интеллекта и управления данными, УАР стремится повысить точность, масштаб и эффективность своих ревизий и расследований, поддерживая при этом мандат ЮНФПА.</w:t>
      </w:r>
    </w:p>
    <w:p w14:paraId="043EC71A" w14:textId="77777777" w:rsidR="00055BFC" w:rsidRPr="00487076" w:rsidRDefault="00055BFC" w:rsidP="00055BFC">
      <w:pPr>
        <w:pStyle w:val="Para1"/>
        <w:numPr>
          <w:ilvl w:val="0"/>
          <w:numId w:val="0"/>
        </w:numPr>
        <w:ind w:left="720" w:hanging="11"/>
      </w:pPr>
      <w:r w:rsidRPr="00487076">
        <w:t>107.</w:t>
      </w:r>
      <w:r w:rsidRPr="00487076">
        <w:tab/>
      </w:r>
      <w:r>
        <w:t>Управление продолжит рационализацию аудиторских и консультационных услуг, опираясь на успехи 2024 года, когда своевременность подготовки аудиторских отчетов значительно улучшилась и было выпущено рекордное количество отчетов — 29.</w:t>
      </w:r>
    </w:p>
    <w:p w14:paraId="7768EB69" w14:textId="77777777" w:rsidR="00055BFC" w:rsidRPr="00487076" w:rsidRDefault="00055BFC" w:rsidP="00055BFC">
      <w:pPr>
        <w:pStyle w:val="Para1"/>
        <w:numPr>
          <w:ilvl w:val="0"/>
          <w:numId w:val="0"/>
        </w:numPr>
        <w:ind w:left="720" w:hanging="11"/>
      </w:pPr>
      <w:r w:rsidRPr="00487076">
        <w:t>108.</w:t>
      </w:r>
      <w:r w:rsidRPr="00487076">
        <w:tab/>
      </w:r>
      <w:r>
        <w:t>УАР проведет промежуточную внутреннюю оценку качества функции внутреннего аудита, которая также послужит анализом пробелов, чтобы определить, на каком уровне находится УАР в отношении недавно внедренных Глобальных стандартов внутреннего аудита Института внутренних аудиторов, а также инвестирует в новые инструменты и обучение для адаптации к внедрению новых стандартов.</w:t>
      </w:r>
    </w:p>
    <w:p w14:paraId="0F1C197A" w14:textId="77777777" w:rsidR="00055BFC" w:rsidRPr="00487076" w:rsidRDefault="00055BFC" w:rsidP="00055BFC">
      <w:pPr>
        <w:pStyle w:val="Para1"/>
        <w:numPr>
          <w:ilvl w:val="0"/>
          <w:numId w:val="0"/>
        </w:numPr>
        <w:ind w:left="720" w:hanging="11"/>
      </w:pPr>
      <w:r w:rsidRPr="00487076">
        <w:t>109.</w:t>
      </w:r>
      <w:r w:rsidRPr="00487076">
        <w:tab/>
      </w:r>
      <w:r>
        <w:t>Управление проведет обзор существующего устава УАР с целью его обновления с учетом изменений, внесенных новыми Глобальными стандартами внутреннего аудита.</w:t>
      </w:r>
    </w:p>
    <w:p w14:paraId="440A1A63" w14:textId="77777777" w:rsidR="00055BFC" w:rsidRPr="00487076" w:rsidRDefault="00055BFC" w:rsidP="00055BFC">
      <w:pPr>
        <w:pStyle w:val="Para1"/>
        <w:numPr>
          <w:ilvl w:val="0"/>
          <w:numId w:val="0"/>
        </w:numPr>
        <w:ind w:left="720" w:hanging="11"/>
      </w:pPr>
      <w:r w:rsidRPr="00487076">
        <w:t>110.</w:t>
      </w:r>
      <w:r w:rsidRPr="00487076">
        <w:tab/>
      </w:r>
      <w:r>
        <w:t>УАР продолжит участвовать в региональных совещаниях, а также в программе обучения для новых сотрудников и членов Исполнительного совета, делясь общими и повторяющимися проблемами и извлеченными уроками, а также участвуя в межучрежденческих мероприятиях и совещаниях для обмена практикой и опытом.</w:t>
      </w:r>
    </w:p>
    <w:p w14:paraId="52A3233A" w14:textId="77777777" w:rsidR="00055BFC" w:rsidRPr="00487076" w:rsidRDefault="00055BFC" w:rsidP="00055BFC">
      <w:pPr>
        <w:pStyle w:val="Para1"/>
        <w:numPr>
          <w:ilvl w:val="0"/>
          <w:numId w:val="0"/>
        </w:numPr>
        <w:ind w:left="720" w:hanging="11"/>
      </w:pPr>
      <w:r w:rsidRPr="00487076">
        <w:t>111.</w:t>
      </w:r>
      <w:r w:rsidRPr="00487076">
        <w:tab/>
      </w:r>
      <w:r>
        <w:t xml:space="preserve">С учетом обязательных требований к непрерывному профессиональному обучению для своих сотрудников УАР разработает стандартные операционные процедуры в рамках более широкой корпоративной политики в области обучения персонала для формализации требований к обучению. </w:t>
      </w:r>
    </w:p>
    <w:p w14:paraId="578B4B0D" w14:textId="77777777" w:rsidR="00055BFC" w:rsidRPr="00487076" w:rsidRDefault="00055BFC" w:rsidP="00055BFC">
      <w:pPr>
        <w:pStyle w:val="Para1"/>
        <w:numPr>
          <w:ilvl w:val="0"/>
          <w:numId w:val="0"/>
        </w:numPr>
        <w:ind w:left="720" w:hanging="11"/>
      </w:pPr>
      <w:r w:rsidRPr="00487076">
        <w:t>112.</w:t>
      </w:r>
      <w:r w:rsidRPr="00487076">
        <w:tab/>
      </w:r>
      <w:r>
        <w:t xml:space="preserve">В 2025 году УАР будет стремиться завершить оставшийся набор сотрудников в отдел расследований, а также заново определить потребности в консультантах и специализированных поставщиках, особенно после завершения формирования штата. В связи с этим, а также с учетом постоянно растущего числа рабочих материалов, требующих рассмотрения на уровне руководства УАР, управление обеспечит занятость должностей и консультантов, связанных с услугами по обеспечению качества. </w:t>
      </w:r>
    </w:p>
    <w:p w14:paraId="15CB098B" w14:textId="77777777" w:rsidR="00055BFC" w:rsidRPr="00487076" w:rsidRDefault="00055BFC" w:rsidP="00055BFC">
      <w:pPr>
        <w:pStyle w:val="Para1"/>
        <w:numPr>
          <w:ilvl w:val="0"/>
          <w:numId w:val="0"/>
        </w:numPr>
        <w:ind w:left="720" w:hanging="11"/>
      </w:pPr>
      <w:r w:rsidRPr="00487076">
        <w:t>113.</w:t>
      </w:r>
      <w:r w:rsidRPr="00487076">
        <w:tab/>
      </w:r>
      <w:r>
        <w:t>Управление будет продолжать совершенствовать процесс сортировки и упорядочения поступающих дел, а также внедрять основанную на критериях стратегию закрытия старых дел. Для этого будут предприняты описанные выше усилия в целях предотвращения любого накопления нерассмотренных дел в будущем.</w:t>
      </w:r>
    </w:p>
    <w:p w14:paraId="2939C87A" w14:textId="77777777" w:rsidR="00055BFC" w:rsidRPr="00487076" w:rsidRDefault="00055BFC" w:rsidP="00055BFC">
      <w:pPr>
        <w:pStyle w:val="Para1"/>
        <w:numPr>
          <w:ilvl w:val="0"/>
          <w:numId w:val="0"/>
        </w:numPr>
        <w:ind w:left="720" w:hanging="11"/>
      </w:pPr>
      <w:r w:rsidRPr="00487076">
        <w:t>114.</w:t>
      </w:r>
      <w:r w:rsidRPr="00487076">
        <w:tab/>
      </w:r>
      <w:r>
        <w:t>УАР благодарит Исполнительный совет, директора-исполнителя ЮНФПА, высшее руководство и сотрудников, которые помогали и сотрудничали с ним на протяжении 2024 года. УАР также выражает благодарность КНН за постоянную поддержку.</w:t>
      </w:r>
    </w:p>
    <w:p w14:paraId="7F6E2AFA" w14:textId="28CCC5E4" w:rsidR="00221BD9" w:rsidRPr="00FE22B0" w:rsidRDefault="00055BFC" w:rsidP="00055BFC">
      <w:pPr>
        <w:pStyle w:val="SingleTxt"/>
      </w:pPr>
      <w:r w:rsidRPr="00487076">
        <w:t>115.</w:t>
      </w:r>
      <w:r w:rsidRPr="00487076">
        <w:tab/>
      </w:r>
      <w:r>
        <w:t>В 2024 году руководство ЮНФПА продолжало демонстрировать приверженность делу повышения эффективности процессов корпоративного управления, управления рисками и контроля в ЮНФПА посредством реагирования на отчеты и рекомендации УАР.</w:t>
      </w:r>
    </w:p>
    <w:p w14:paraId="1C59BA49" w14:textId="3E2D2D60" w:rsidR="00055BFC" w:rsidRPr="00055BFC" w:rsidRDefault="00055BFC" w:rsidP="00055BFC">
      <w:pPr>
        <w:pStyle w:val="SingleTxt"/>
        <w:spacing w:after="0" w:line="240" w:lineRule="auto"/>
        <w:rPr>
          <w:lang w:val="en-US"/>
        </w:rPr>
      </w:pPr>
      <w:r>
        <w:rPr>
          <w:noProof/>
          <w:w w:val="100"/>
          <w:lang w:val="en-US"/>
        </w:rPr>
        <mc:AlternateContent>
          <mc:Choice Requires="wps">
            <w:drawing>
              <wp:anchor distT="0" distB="0" distL="114300" distR="114300" simplePos="0" relativeHeight="251659264" behindDoc="0" locked="0" layoutInCell="1" allowOverlap="1" wp14:anchorId="66328D78" wp14:editId="420DA0E0">
                <wp:simplePos x="0" y="0"/>
                <wp:positionH relativeFrom="column">
                  <wp:posOffset>2669540</wp:posOffset>
                </wp:positionH>
                <wp:positionV relativeFrom="paragraph">
                  <wp:posOffset>381000</wp:posOffset>
                </wp:positionV>
                <wp:extent cx="914400" cy="0"/>
                <wp:effectExtent l="0" t="0" r="0" b="0"/>
                <wp:wrapNone/>
                <wp:docPr id="246754329"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464ABA"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" strokecolor="#010000" strokeweight=".25pt">
                <v:stroke joinstyle="miter"/>
              </v:line>
            </w:pict>
          </mc:Fallback>
        </mc:AlternateContent>
      </w:r>
    </w:p>
    <w:sectPr w:rsidR="00055BFC" w:rsidRPr="00055BFC" w:rsidSect="00055BFC">
      <w:headerReference w:type="even" r:id="rId37"/>
      <w:type w:val="continuous"/>
      <w:pgSz w:w="12240" w:h="15840"/>
      <w:pgMar w:top="1440" w:right="1200" w:bottom="1152" w:left="1200" w:header="432" w:footer="504" w:gutter="0"/>
      <w:pgNumType w:start="1"/>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art" w:date="2025-05-21T15:27:00Z" w:initials="Start">
    <w:p w14:paraId="2E7D12E5" w14:textId="77777777" w:rsidR="00221BD9" w:rsidRDefault="00221BD9">
      <w:pPr>
        <w:pStyle w:val="CommentText"/>
      </w:pPr>
      <w:r>
        <w:rPr>
          <w:rStyle w:val="CommentReference"/>
        </w:rPr>
        <w:annotationRef/>
      </w:r>
      <w:r>
        <w:t>&lt;&lt;ODS JOB NO&gt;&gt;N2512987R&lt;&lt;ODS JOB NO&gt;&gt;</w:t>
      </w:r>
    </w:p>
    <w:p w14:paraId="4029A46A" w14:textId="77777777" w:rsidR="00221BD9" w:rsidRDefault="00221BD9">
      <w:pPr>
        <w:pStyle w:val="CommentText"/>
      </w:pPr>
      <w:r>
        <w:t>&lt;&lt;ODS DOC SYMBOL1&gt;&gt;DP/FPA/2025/6&lt;&lt;ODS DOC SYMBOL1&gt;&gt;</w:t>
      </w:r>
    </w:p>
    <w:p w14:paraId="5F0F2147" w14:textId="1895512C" w:rsidR="00221BD9" w:rsidRDefault="00221BD9">
      <w:pPr>
        <w:pStyle w:val="CommentText"/>
      </w:pPr>
      <w: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0F21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544D08" w16cex:dateUtc="2025-05-21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0F2147" w16cid:durableId="49544D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CFA26" w14:textId="77777777" w:rsidR="009B4ADE" w:rsidRDefault="009B4ADE" w:rsidP="00331D20">
      <w:r>
        <w:separator/>
      </w:r>
    </w:p>
  </w:endnote>
  <w:endnote w:type="continuationSeparator" w:id="0">
    <w:p w14:paraId="6F50DF96" w14:textId="77777777" w:rsidR="009B4ADE" w:rsidRDefault="009B4ADE" w:rsidP="0033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TheSansLight-Plain">
    <w:altName w:val="Cambria"/>
    <w:panose1 w:val="00000000000000000000"/>
    <w:charset w:val="4D"/>
    <w:family w:val="auto"/>
    <w:notTrueType/>
    <w:pitch w:val="default"/>
    <w:sig w:usb0="00000003" w:usb1="00000000" w:usb2="00000000" w:usb3="00000000" w:csb0="00000001" w:csb1="00000000"/>
  </w:font>
  <w:font w:name="Barcode 3 of 9 by request">
    <w:altName w:val="Calibri"/>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4920"/>
      <w:gridCol w:w="4920"/>
    </w:tblGrid>
    <w:tr w:rsidR="00221BD9" w14:paraId="5565AFC4" w14:textId="77777777" w:rsidTr="00221BD9">
      <w:tc>
        <w:tcPr>
          <w:tcW w:w="4920" w:type="dxa"/>
          <w:shd w:val="clear" w:color="auto" w:fill="auto"/>
          <w:vAlign w:val="bottom"/>
        </w:tcPr>
        <w:p w14:paraId="348804EE" w14:textId="298E1250" w:rsidR="00221BD9" w:rsidRPr="00221BD9" w:rsidRDefault="00221BD9" w:rsidP="00221BD9">
          <w:pPr>
            <w:pStyle w:val="Footer"/>
            <w:rPr>
              <w:color w:val="000000"/>
            </w:rPr>
          </w:pPr>
          <w:r>
            <w:fldChar w:fldCharType="begin"/>
          </w:r>
          <w:r>
            <w:instrText xml:space="preserve"> PAGE  \* Arabic  \* MERGEFORMAT </w:instrText>
          </w:r>
          <w:r>
            <w:fldChar w:fldCharType="separate"/>
          </w:r>
          <w:r>
            <w:t>3</w:t>
          </w:r>
          <w:r>
            <w:fldChar w:fldCharType="end"/>
          </w:r>
          <w:r>
            <w:t>/</w:t>
          </w:r>
          <w:fldSimple w:instr=" NUMPAGES  \* Arabic  \* MERGEFORMAT ">
            <w:r>
              <w:t>4</w:t>
            </w:r>
          </w:fldSimple>
        </w:p>
      </w:tc>
      <w:tc>
        <w:tcPr>
          <w:tcW w:w="4920" w:type="dxa"/>
          <w:shd w:val="clear" w:color="auto" w:fill="auto"/>
          <w:vAlign w:val="bottom"/>
        </w:tcPr>
        <w:p w14:paraId="6131FA8C" w14:textId="683CAA2F" w:rsidR="00221BD9" w:rsidRPr="00221BD9" w:rsidRDefault="00221BD9" w:rsidP="00221BD9">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554C05">
            <w:rPr>
              <w:b w:val="0"/>
              <w:color w:val="000000"/>
              <w:sz w:val="14"/>
            </w:rPr>
            <w:t>25-07879</w:t>
          </w:r>
          <w:r>
            <w:rPr>
              <w:b w:val="0"/>
              <w:color w:val="000000"/>
              <w:sz w:val="14"/>
            </w:rPr>
            <w:fldChar w:fldCharType="end"/>
          </w:r>
        </w:p>
      </w:tc>
    </w:tr>
  </w:tbl>
  <w:p w14:paraId="286B0BA7" w14:textId="77777777" w:rsidR="00221BD9" w:rsidRPr="00221BD9" w:rsidRDefault="00221BD9" w:rsidP="00221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4920"/>
      <w:gridCol w:w="4920"/>
    </w:tblGrid>
    <w:tr w:rsidR="00221BD9" w14:paraId="0B99F73B" w14:textId="77777777" w:rsidTr="00221BD9">
      <w:tc>
        <w:tcPr>
          <w:tcW w:w="4920" w:type="dxa"/>
          <w:shd w:val="clear" w:color="auto" w:fill="auto"/>
          <w:vAlign w:val="bottom"/>
        </w:tcPr>
        <w:p w14:paraId="34E08F36" w14:textId="610B3B23" w:rsidR="00221BD9" w:rsidRPr="00221BD9" w:rsidRDefault="00221BD9" w:rsidP="00221BD9">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554C05">
            <w:rPr>
              <w:b w:val="0"/>
              <w:color w:val="000000"/>
              <w:sz w:val="14"/>
            </w:rPr>
            <w:t>25-07879</w:t>
          </w:r>
          <w:r>
            <w:rPr>
              <w:b w:val="0"/>
              <w:color w:val="000000"/>
              <w:sz w:val="14"/>
            </w:rPr>
            <w:fldChar w:fldCharType="end"/>
          </w:r>
        </w:p>
      </w:tc>
      <w:tc>
        <w:tcPr>
          <w:tcW w:w="4920" w:type="dxa"/>
          <w:shd w:val="clear" w:color="auto" w:fill="auto"/>
          <w:vAlign w:val="bottom"/>
        </w:tcPr>
        <w:p w14:paraId="25E2DF37" w14:textId="1E331DFB" w:rsidR="00221BD9" w:rsidRPr="00221BD9" w:rsidRDefault="00221BD9" w:rsidP="00221BD9">
          <w:pPr>
            <w:pStyle w:val="Footer"/>
            <w:jc w:val="right"/>
          </w:pPr>
          <w:r>
            <w:fldChar w:fldCharType="begin"/>
          </w:r>
          <w:r>
            <w:instrText xml:space="preserve"> PAGE  \* Arabic  \* MERGEFORMAT </w:instrText>
          </w:r>
          <w:r>
            <w:fldChar w:fldCharType="separate"/>
          </w:r>
          <w:r>
            <w:t>2</w:t>
          </w:r>
          <w:r>
            <w:fldChar w:fldCharType="end"/>
          </w:r>
          <w:r>
            <w:t>/</w:t>
          </w:r>
          <w:fldSimple w:instr=" NUMPAGES  \* Arabic  \* MERGEFORMAT ">
            <w:r>
              <w:t>4</w:t>
            </w:r>
          </w:fldSimple>
        </w:p>
      </w:tc>
    </w:tr>
  </w:tbl>
  <w:p w14:paraId="6CD1EC5C" w14:textId="77777777" w:rsidR="00221BD9" w:rsidRPr="00221BD9" w:rsidRDefault="00221BD9" w:rsidP="00221B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830"/>
      <w:gridCol w:w="4920"/>
    </w:tblGrid>
    <w:tr w:rsidR="00221BD9" w14:paraId="6E1ECE56" w14:textId="77777777" w:rsidTr="00221BD9">
      <w:tc>
        <w:tcPr>
          <w:tcW w:w="3830" w:type="dxa"/>
        </w:tcPr>
        <w:p w14:paraId="40E9A281" w14:textId="4647EAFF" w:rsidR="00221BD9" w:rsidRDefault="00221BD9" w:rsidP="00221BD9">
          <w:pPr>
            <w:pStyle w:val="ReleaseDate"/>
            <w:rPr>
              <w:color w:val="010000"/>
            </w:rPr>
          </w:pPr>
          <w:r>
            <w:rPr>
              <w:noProof/>
            </w:rPr>
            <w:drawing>
              <wp:anchor distT="0" distB="0" distL="114300" distR="114300" simplePos="0" relativeHeight="251658240" behindDoc="0" locked="0" layoutInCell="1" allowOverlap="1" wp14:anchorId="284907FB" wp14:editId="53D9A155">
                <wp:simplePos x="0" y="0"/>
                <wp:positionH relativeFrom="column">
                  <wp:posOffset>5504180</wp:posOffset>
                </wp:positionH>
                <wp:positionV relativeFrom="paragraph">
                  <wp:posOffset>-319405</wp:posOffset>
                </wp:positionV>
                <wp:extent cx="694690" cy="694690"/>
                <wp:effectExtent l="0" t="0" r="0" b="0"/>
                <wp:wrapNone/>
                <wp:docPr id="9505893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25-07879 (R)</w:t>
          </w:r>
          <w:r>
            <w:rPr>
              <w:color w:val="010000"/>
            </w:rPr>
            <w:t xml:space="preserve">    210525    2</w:t>
          </w:r>
          <w:r w:rsidR="00055BFC">
            <w:rPr>
              <w:color w:val="010000"/>
            </w:rPr>
            <w:t>3</w:t>
          </w:r>
          <w:r>
            <w:rPr>
              <w:color w:val="010000"/>
            </w:rPr>
            <w:t>0525</w:t>
          </w:r>
        </w:p>
        <w:p w14:paraId="5540DF3D" w14:textId="5E0C1823" w:rsidR="00221BD9" w:rsidRPr="00221BD9" w:rsidRDefault="00221BD9" w:rsidP="00221BD9">
          <w:pPr>
            <w:pStyle w:val="Footer"/>
            <w:spacing w:after="80"/>
            <w:rPr>
              <w:rFonts w:ascii="Barcode 3 of 9 by request" w:hAnsi="Barcode 3 of 9 by request"/>
              <w:b w:val="0"/>
              <w:sz w:val="24"/>
              <w:lang w:val="es-ES"/>
            </w:rPr>
          </w:pPr>
          <w:r>
            <w:rPr>
              <w:rFonts w:ascii="Barcode 3 of 9 by request" w:hAnsi="Barcode 3 of 9 by request"/>
              <w:sz w:val="24"/>
              <w:lang w:val="es-ES"/>
            </w:rPr>
            <w:t>*2507879*</w:t>
          </w:r>
        </w:p>
      </w:tc>
      <w:tc>
        <w:tcPr>
          <w:tcW w:w="4920" w:type="dxa"/>
        </w:tcPr>
        <w:p w14:paraId="34C113BB" w14:textId="4EA97BAE" w:rsidR="00221BD9" w:rsidRDefault="00221BD9" w:rsidP="00221BD9">
          <w:pPr>
            <w:pStyle w:val="Footer"/>
            <w:spacing w:line="240" w:lineRule="atLeast"/>
            <w:jc w:val="right"/>
            <w:rPr>
              <w:b w:val="0"/>
              <w:sz w:val="20"/>
            </w:rPr>
          </w:pPr>
          <w:r>
            <w:rPr>
              <w:b w:val="0"/>
              <w:sz w:val="20"/>
            </w:rPr>
            <w:drawing>
              <wp:inline distT="0" distB="0" distL="0" distR="0" wp14:anchorId="56FA90E2" wp14:editId="2248C1A5">
                <wp:extent cx="2703582" cy="231648"/>
                <wp:effectExtent l="0" t="0" r="1905" b="0"/>
                <wp:docPr id="514567129" name="Picture 2"/>
                <wp:cNvGraphicFramePr/>
                <a:graphic xmlns:a="http://schemas.openxmlformats.org/drawingml/2006/main">
                  <a:graphicData uri="http://schemas.openxmlformats.org/drawingml/2006/picture">
                    <pic:pic xmlns:pic="http://schemas.openxmlformats.org/drawingml/2006/picture">
                      <pic:nvPicPr>
                        <pic:cNvPr id="514567129" name=""/>
                        <pic:cNvPicPr/>
                      </pic:nvPicPr>
                      <pic:blipFill>
                        <a:blip r:embed="rId2">
                          <a:extLst>
                            <a:ext uri="{28A0092B-C50C-407E-A947-70E740481C1C}">
                              <a14:useLocalDpi xmlns:a14="http://schemas.microsoft.com/office/drawing/2010/main" val="0"/>
                            </a:ext>
                          </a:extLst>
                        </a:blip>
                        <a:stretch>
                          <a:fillRect/>
                        </a:stretch>
                      </pic:blipFill>
                      <pic:spPr>
                        <a:xfrm>
                          <a:off x="0" y="0"/>
                          <a:ext cx="2703582" cy="231648"/>
                        </a:xfrm>
                        <a:prstGeom prst="rect">
                          <a:avLst/>
                        </a:prstGeom>
                      </pic:spPr>
                    </pic:pic>
                  </a:graphicData>
                </a:graphic>
              </wp:inline>
            </w:drawing>
          </w:r>
        </w:p>
      </w:tc>
    </w:tr>
  </w:tbl>
  <w:p w14:paraId="5DC11A0E" w14:textId="77777777" w:rsidR="00221BD9" w:rsidRPr="00221BD9" w:rsidRDefault="00221BD9" w:rsidP="00221BD9">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E8EDD" w14:textId="77777777" w:rsidR="009B4ADE" w:rsidRPr="00055BFC" w:rsidRDefault="009B4ADE" w:rsidP="00055BFC">
      <w:pPr>
        <w:pStyle w:val="Footer"/>
        <w:spacing w:after="80"/>
        <w:ind w:left="792"/>
        <w:rPr>
          <w:sz w:val="16"/>
        </w:rPr>
      </w:pPr>
      <w:r w:rsidRPr="00055BFC">
        <w:rPr>
          <w:sz w:val="16"/>
        </w:rPr>
        <w:t>__________________</w:t>
      </w:r>
    </w:p>
  </w:footnote>
  <w:footnote w:type="continuationSeparator" w:id="0">
    <w:p w14:paraId="29AB640A" w14:textId="77777777" w:rsidR="009B4ADE" w:rsidRPr="00055BFC" w:rsidRDefault="009B4ADE" w:rsidP="00055BFC">
      <w:pPr>
        <w:pStyle w:val="Footer"/>
        <w:spacing w:after="80"/>
        <w:ind w:left="792"/>
        <w:rPr>
          <w:sz w:val="16"/>
        </w:rPr>
      </w:pPr>
      <w:r w:rsidRPr="00055BFC">
        <w:rPr>
          <w:sz w:val="16"/>
        </w:rPr>
        <w:t>__________________</w:t>
      </w:r>
    </w:p>
  </w:footnote>
  <w:footnote w:id="1">
    <w:p w14:paraId="25E2271C" w14:textId="56A66E20" w:rsidR="00055BFC" w:rsidRPr="00327AD7" w:rsidRDefault="00055BFC" w:rsidP="00055BFC">
      <w:pPr>
        <w:pStyle w:val="FootnoteText"/>
        <w:tabs>
          <w:tab w:val="clear" w:pos="418"/>
          <w:tab w:val="right" w:pos="1195"/>
          <w:tab w:val="left" w:pos="1267"/>
          <w:tab w:val="left" w:pos="1742"/>
          <w:tab w:val="left" w:pos="2218"/>
          <w:tab w:val="left" w:pos="2693"/>
        </w:tabs>
        <w:ind w:left="1267" w:right="1267" w:hanging="576"/>
        <w:rPr>
          <w:sz w:val="16"/>
          <w:szCs w:val="16"/>
          <w:lang w:val="en-US"/>
        </w:rPr>
      </w:pPr>
      <w:r>
        <w:rPr>
          <w:lang w:val="en-US"/>
        </w:rPr>
        <w:tab/>
      </w:r>
      <w:r>
        <w:rPr>
          <w:sz w:val="16"/>
          <w:szCs w:val="16"/>
          <w:vertAlign w:val="superscript"/>
        </w:rPr>
        <w:footnoteRef/>
      </w:r>
      <w:r>
        <w:rPr>
          <w:lang w:val="en-US"/>
        </w:rPr>
        <w:tab/>
      </w:r>
      <w:hyperlink r:id="rId1" w:history="1">
        <w:r w:rsidRPr="00327AD7">
          <w:rPr>
            <w:rStyle w:val="Hyperlink"/>
            <w:lang w:val="en-US"/>
          </w:rPr>
          <w:t>https://www.unfpa.org/admin-resource/unfpa-oversight-policy</w:t>
        </w:r>
      </w:hyperlink>
      <w:r w:rsidRPr="00327AD7">
        <w:rPr>
          <w:lang w:val="en-US"/>
        </w:rPr>
        <w:t>.</w:t>
      </w:r>
    </w:p>
  </w:footnote>
  <w:footnote w:id="2">
    <w:p w14:paraId="70032733" w14:textId="036DF783" w:rsidR="00055BFC" w:rsidRPr="007A0F54" w:rsidRDefault="00055BFC" w:rsidP="00055BFC">
      <w:pPr>
        <w:pStyle w:val="FootnoteText"/>
        <w:tabs>
          <w:tab w:val="clear" w:pos="418"/>
          <w:tab w:val="right" w:pos="1195"/>
          <w:tab w:val="left" w:pos="1267"/>
          <w:tab w:val="left" w:pos="1742"/>
          <w:tab w:val="left" w:pos="2218"/>
          <w:tab w:val="left" w:pos="2693"/>
        </w:tabs>
        <w:ind w:left="1267" w:right="1267" w:hanging="576"/>
        <w:rPr>
          <w:sz w:val="16"/>
          <w:szCs w:val="16"/>
        </w:rPr>
      </w:pPr>
      <w:r>
        <w:rPr>
          <w:lang w:val="en-US"/>
        </w:rPr>
        <w:tab/>
      </w:r>
      <w:r>
        <w:rPr>
          <w:sz w:val="16"/>
          <w:szCs w:val="16"/>
          <w:vertAlign w:val="superscript"/>
        </w:rPr>
        <w:footnoteRef/>
      </w:r>
      <w:r w:rsidRPr="0056783D">
        <w:tab/>
      </w:r>
      <w:r w:rsidRPr="00055BFC">
        <w:t xml:space="preserve">См. документ </w:t>
      </w:r>
      <w:r w:rsidRPr="00636DF9">
        <w:t>DP/FPA/2007/20</w:t>
      </w:r>
      <w:r w:rsidRPr="00055BFC">
        <w:t>.</w:t>
      </w:r>
    </w:p>
  </w:footnote>
  <w:footnote w:id="3">
    <w:p w14:paraId="4403BB0D" w14:textId="115DB4BD" w:rsidR="00055BFC" w:rsidRPr="007A0F54" w:rsidRDefault="00055BFC" w:rsidP="00055BFC">
      <w:pPr>
        <w:pStyle w:val="FootnoteText"/>
        <w:tabs>
          <w:tab w:val="clear" w:pos="418"/>
          <w:tab w:val="right" w:pos="1195"/>
          <w:tab w:val="left" w:pos="1267"/>
          <w:tab w:val="left" w:pos="1742"/>
          <w:tab w:val="left" w:pos="2218"/>
          <w:tab w:val="left" w:pos="2693"/>
        </w:tabs>
        <w:ind w:left="1267" w:right="1267" w:hanging="576"/>
        <w:rPr>
          <w:sz w:val="16"/>
          <w:szCs w:val="16"/>
        </w:rPr>
      </w:pPr>
      <w:r w:rsidRPr="0056783D">
        <w:tab/>
      </w:r>
      <w:r>
        <w:rPr>
          <w:sz w:val="16"/>
          <w:szCs w:val="16"/>
          <w:vertAlign w:val="superscript"/>
        </w:rPr>
        <w:footnoteRef/>
      </w:r>
      <w:r w:rsidRPr="00055BFC">
        <w:tab/>
        <w:t>Рейтинг на 2024 год такой же, как и в предыдущем году. Определения рейтингов аудита ЮНФПА согласованы с определениями ЮНОПС, ЮНИСЕФ и структуры «ООН-женщины». ПРООН приняла различные методы определения рейтинга.</w:t>
      </w:r>
    </w:p>
  </w:footnote>
  <w:footnote w:id="4">
    <w:p w14:paraId="5E2BAE5F" w14:textId="65FE62CD" w:rsidR="00055BFC" w:rsidRPr="007A0F54" w:rsidRDefault="00055BFC" w:rsidP="00055BFC">
      <w:pPr>
        <w:pStyle w:val="FootnoteText"/>
        <w:tabs>
          <w:tab w:val="clear" w:pos="418"/>
          <w:tab w:val="right" w:pos="1195"/>
          <w:tab w:val="left" w:pos="1267"/>
          <w:tab w:val="left" w:pos="1742"/>
          <w:tab w:val="left" w:pos="2218"/>
          <w:tab w:val="left" w:pos="2693"/>
        </w:tabs>
        <w:ind w:left="1267" w:right="1267" w:hanging="576"/>
        <w:rPr>
          <w:sz w:val="16"/>
          <w:szCs w:val="16"/>
        </w:rPr>
      </w:pPr>
      <w:r w:rsidRPr="0056783D">
        <w:tab/>
      </w:r>
      <w:r>
        <w:rPr>
          <w:sz w:val="16"/>
          <w:szCs w:val="16"/>
          <w:vertAlign w:val="superscript"/>
        </w:rPr>
        <w:footnoteRef/>
      </w:r>
      <w:r w:rsidRPr="00055BFC">
        <w:tab/>
        <w:t>Международные стандарты профессиональной практики внутреннего аудита (стандарт 1300, «Программа обеспечения и повышения качества внутреннего аудита»).</w:t>
      </w:r>
    </w:p>
  </w:footnote>
  <w:footnote w:id="5">
    <w:p w14:paraId="4CCD6BBF" w14:textId="161B3110" w:rsidR="00055BFC" w:rsidRPr="007A0F54" w:rsidRDefault="00055BFC" w:rsidP="00055BFC">
      <w:pPr>
        <w:pStyle w:val="FootnoteText"/>
        <w:tabs>
          <w:tab w:val="clear" w:pos="418"/>
          <w:tab w:val="right" w:pos="1195"/>
          <w:tab w:val="left" w:pos="1267"/>
          <w:tab w:val="left" w:pos="1742"/>
          <w:tab w:val="left" w:pos="2218"/>
          <w:tab w:val="left" w:pos="2693"/>
        </w:tabs>
        <w:ind w:left="1267" w:right="1267" w:hanging="576"/>
        <w:rPr>
          <w:sz w:val="16"/>
          <w:szCs w:val="16"/>
        </w:rPr>
      </w:pPr>
      <w:r w:rsidRPr="0056783D">
        <w:tab/>
      </w:r>
      <w:r>
        <w:rPr>
          <w:sz w:val="16"/>
          <w:szCs w:val="16"/>
          <w:vertAlign w:val="superscript"/>
        </w:rPr>
        <w:footnoteRef/>
      </w:r>
      <w:r w:rsidRPr="00055BFC">
        <w:tab/>
        <w:t>По состоянию на 12 марта 2025 года были вакантны три должности P2 и одна должность G7.</w:t>
      </w:r>
    </w:p>
  </w:footnote>
  <w:footnote w:id="6">
    <w:p w14:paraId="7FAB542D" w14:textId="70BCB223" w:rsidR="00055BFC" w:rsidRPr="007A0F54" w:rsidRDefault="00055BFC" w:rsidP="00055BFC">
      <w:pPr>
        <w:pStyle w:val="FootnoteText"/>
        <w:tabs>
          <w:tab w:val="clear" w:pos="418"/>
          <w:tab w:val="right" w:pos="1195"/>
          <w:tab w:val="left" w:pos="1267"/>
          <w:tab w:val="left" w:pos="1742"/>
          <w:tab w:val="left" w:pos="2218"/>
          <w:tab w:val="left" w:pos="2693"/>
        </w:tabs>
        <w:ind w:left="1267" w:right="1267" w:hanging="576"/>
        <w:rPr>
          <w:sz w:val="16"/>
          <w:szCs w:val="16"/>
        </w:rPr>
      </w:pPr>
      <w:r w:rsidRPr="0056783D">
        <w:tab/>
      </w:r>
      <w:r>
        <w:rPr>
          <w:sz w:val="16"/>
          <w:szCs w:val="16"/>
          <w:vertAlign w:val="superscript"/>
        </w:rPr>
        <w:footnoteRef/>
      </w:r>
      <w:r w:rsidRPr="00055BFC">
        <w:tab/>
        <w:t>Услуги экспертной оценки предполагают объективное изучение доказательств с целью предоставления независимой оценки процессов руководства, управления рисками и контроля организации.</w:t>
      </w:r>
    </w:p>
  </w:footnote>
  <w:footnote w:id="7">
    <w:p w14:paraId="6AC941B9" w14:textId="09AE4CFC" w:rsidR="00055BFC" w:rsidRPr="007A0F54" w:rsidRDefault="00055BFC" w:rsidP="00055BFC">
      <w:pPr>
        <w:pStyle w:val="FootnoteText"/>
        <w:tabs>
          <w:tab w:val="clear" w:pos="418"/>
          <w:tab w:val="right" w:pos="1195"/>
          <w:tab w:val="left" w:pos="1267"/>
          <w:tab w:val="left" w:pos="1742"/>
          <w:tab w:val="left" w:pos="2218"/>
          <w:tab w:val="left" w:pos="2693"/>
        </w:tabs>
        <w:ind w:left="1267" w:right="1267" w:hanging="576"/>
        <w:rPr>
          <w:sz w:val="16"/>
          <w:szCs w:val="16"/>
        </w:rPr>
      </w:pPr>
      <w:r w:rsidRPr="0056783D">
        <w:tab/>
      </w:r>
      <w:r>
        <w:rPr>
          <w:sz w:val="16"/>
          <w:szCs w:val="16"/>
          <w:vertAlign w:val="superscript"/>
        </w:rPr>
        <w:footnoteRef/>
      </w:r>
      <w:r w:rsidRPr="00055BFC">
        <w:tab/>
        <w:t xml:space="preserve">См. рейтинги и определения аудита на сайте </w:t>
      </w:r>
      <w:hyperlink r:id="rId2" w:history="1">
        <w:r w:rsidRPr="00055BFC">
          <w:rPr>
            <w:rStyle w:val="Hyperlink"/>
          </w:rPr>
          <w:t>https://www.unfpa.org/admin-resource/standard-definition-audit-terms</w:t>
        </w:r>
      </w:hyperlink>
      <w:r w:rsidRPr="00055BFC">
        <w:t xml:space="preserve">. </w:t>
      </w:r>
    </w:p>
  </w:footnote>
  <w:footnote w:id="8">
    <w:p w14:paraId="45EB4E51" w14:textId="7392DAEA" w:rsidR="00055BFC" w:rsidRPr="007A0F54" w:rsidRDefault="00055BFC" w:rsidP="00055BFC">
      <w:pPr>
        <w:pStyle w:val="FootnoteText"/>
        <w:tabs>
          <w:tab w:val="clear" w:pos="418"/>
          <w:tab w:val="right" w:pos="1195"/>
          <w:tab w:val="left" w:pos="1267"/>
          <w:tab w:val="left" w:pos="1742"/>
          <w:tab w:val="left" w:pos="2218"/>
          <w:tab w:val="left" w:pos="2693"/>
        </w:tabs>
        <w:ind w:left="1267" w:right="1267" w:hanging="576"/>
        <w:rPr>
          <w:sz w:val="16"/>
          <w:szCs w:val="16"/>
        </w:rPr>
      </w:pPr>
      <w:r w:rsidRPr="00327AD7">
        <w:tab/>
      </w:r>
      <w:r>
        <w:rPr>
          <w:sz w:val="16"/>
          <w:szCs w:val="16"/>
          <w:vertAlign w:val="superscript"/>
        </w:rPr>
        <w:footnoteRef/>
      </w:r>
      <w:r w:rsidRPr="00055BFC">
        <w:tab/>
        <w:t>Номер аудиторского отчета</w:t>
      </w:r>
      <w:hyperlink r:id="rId3" w:history="1">
        <w:r w:rsidRPr="00055BFC">
          <w:rPr>
            <w:rStyle w:val="Hyperlink"/>
          </w:rPr>
          <w:t>:</w:t>
        </w:r>
      </w:hyperlink>
      <w:r w:rsidRPr="00055BFC">
        <w:t xml:space="preserve"> IA/2024-07 — аудит процесса набора персонала в штаб-квартире ЮНФПА.</w:t>
      </w:r>
    </w:p>
  </w:footnote>
  <w:footnote w:id="9">
    <w:p w14:paraId="6F2859DB" w14:textId="024953F6" w:rsidR="00055BFC" w:rsidRPr="007A0F54" w:rsidRDefault="00055BFC" w:rsidP="00055BFC">
      <w:pPr>
        <w:pStyle w:val="FootnoteText"/>
        <w:tabs>
          <w:tab w:val="clear" w:pos="418"/>
          <w:tab w:val="right" w:pos="1195"/>
          <w:tab w:val="left" w:pos="1267"/>
          <w:tab w:val="left" w:pos="1742"/>
          <w:tab w:val="left" w:pos="2218"/>
          <w:tab w:val="left" w:pos="2693"/>
        </w:tabs>
        <w:ind w:left="1267" w:right="1267" w:hanging="576"/>
        <w:rPr>
          <w:sz w:val="16"/>
          <w:szCs w:val="16"/>
        </w:rPr>
      </w:pPr>
      <w:r w:rsidRPr="00327AD7">
        <w:tab/>
      </w:r>
      <w:r>
        <w:rPr>
          <w:sz w:val="16"/>
          <w:szCs w:val="16"/>
          <w:vertAlign w:val="superscript"/>
        </w:rPr>
        <w:footnoteRef/>
      </w:r>
      <w:r w:rsidRPr="00055BFC">
        <w:tab/>
        <w:t>Номер аудиторского отчета: IA/2024-23 — аудит управления непрерывностью деятельности в ЮНФПА.</w:t>
      </w:r>
    </w:p>
  </w:footnote>
  <w:footnote w:id="10">
    <w:p w14:paraId="7A0C1DFE" w14:textId="1A995BFF" w:rsidR="00055BFC" w:rsidRPr="007A0F54" w:rsidRDefault="00055BFC" w:rsidP="00055BFC">
      <w:pPr>
        <w:pStyle w:val="FootnoteText"/>
        <w:tabs>
          <w:tab w:val="clear" w:pos="418"/>
          <w:tab w:val="right" w:pos="1195"/>
          <w:tab w:val="left" w:pos="1267"/>
          <w:tab w:val="left" w:pos="1742"/>
          <w:tab w:val="left" w:pos="2218"/>
          <w:tab w:val="left" w:pos="2693"/>
        </w:tabs>
        <w:ind w:left="1267" w:right="1267" w:hanging="576"/>
        <w:rPr>
          <w:sz w:val="16"/>
          <w:szCs w:val="16"/>
        </w:rPr>
      </w:pPr>
      <w:r w:rsidRPr="0056783D">
        <w:tab/>
      </w:r>
      <w:r>
        <w:rPr>
          <w:sz w:val="16"/>
          <w:szCs w:val="16"/>
          <w:vertAlign w:val="superscript"/>
        </w:rPr>
        <w:footnoteRef/>
      </w:r>
      <w:r w:rsidRPr="00055BFC">
        <w:tab/>
        <w:t>Номер аудиторского отчета: IA/2024-26 — аудит системы планирования ресурсов предприятия ЮНФПА (Quantum).</w:t>
      </w:r>
    </w:p>
  </w:footnote>
  <w:footnote w:id="11">
    <w:p w14:paraId="3DE787CB" w14:textId="670D2169" w:rsidR="00055BFC" w:rsidRPr="007A0F54" w:rsidRDefault="00055BFC" w:rsidP="00055BFC">
      <w:pPr>
        <w:pStyle w:val="FootnoteText"/>
        <w:tabs>
          <w:tab w:val="clear" w:pos="418"/>
          <w:tab w:val="right" w:pos="1195"/>
          <w:tab w:val="left" w:pos="1267"/>
          <w:tab w:val="left" w:pos="1742"/>
          <w:tab w:val="left" w:pos="2218"/>
          <w:tab w:val="left" w:pos="2693"/>
        </w:tabs>
        <w:ind w:left="1267" w:right="1267" w:hanging="576"/>
        <w:rPr>
          <w:sz w:val="16"/>
          <w:szCs w:val="16"/>
        </w:rPr>
      </w:pPr>
      <w:r w:rsidRPr="0056783D">
        <w:tab/>
      </w:r>
      <w:r>
        <w:rPr>
          <w:sz w:val="16"/>
          <w:szCs w:val="16"/>
          <w:vertAlign w:val="superscript"/>
        </w:rPr>
        <w:footnoteRef/>
      </w:r>
      <w:r w:rsidRPr="00055BFC">
        <w:tab/>
        <w:t>Номер аудиторского отчета: IA/2024-27 — аудит практики и процессов управления информационной безопасностью ЮНФПА.</w:t>
      </w:r>
    </w:p>
  </w:footnote>
  <w:footnote w:id="12">
    <w:p w14:paraId="76514D96" w14:textId="04D0C686" w:rsidR="00055BFC" w:rsidRPr="007A0F54" w:rsidRDefault="00055BFC" w:rsidP="00055BFC">
      <w:pPr>
        <w:pStyle w:val="FootnoteText"/>
        <w:tabs>
          <w:tab w:val="clear" w:pos="418"/>
          <w:tab w:val="right" w:pos="1195"/>
          <w:tab w:val="left" w:pos="1267"/>
          <w:tab w:val="left" w:pos="1742"/>
          <w:tab w:val="left" w:pos="2218"/>
          <w:tab w:val="left" w:pos="2693"/>
        </w:tabs>
        <w:ind w:left="1267" w:right="1267" w:hanging="576"/>
        <w:rPr>
          <w:sz w:val="16"/>
          <w:szCs w:val="16"/>
        </w:rPr>
      </w:pPr>
      <w:r w:rsidRPr="0056783D">
        <w:tab/>
      </w:r>
      <w:r>
        <w:rPr>
          <w:sz w:val="16"/>
          <w:szCs w:val="16"/>
          <w:vertAlign w:val="superscript"/>
        </w:rPr>
        <w:footnoteRef/>
      </w:r>
      <w:r w:rsidRPr="00055BFC">
        <w:tab/>
        <w:t>Номер аудиторского отчета: IA/2024-29 — аудит практики и процессов управления идентификационными данными и доступом ЮНФПА.</w:t>
      </w:r>
    </w:p>
  </w:footnote>
  <w:footnote w:id="13">
    <w:p w14:paraId="281A6157" w14:textId="63F009C6" w:rsidR="00055BFC" w:rsidRPr="00DE4FE3" w:rsidRDefault="00055BFC" w:rsidP="00055BFC">
      <w:pPr>
        <w:pBdr>
          <w:top w:val="nil"/>
          <w:left w:val="nil"/>
          <w:bottom w:val="nil"/>
          <w:right w:val="nil"/>
          <w:between w:val="nil"/>
        </w:pBdr>
        <w:tabs>
          <w:tab w:val="right" w:pos="1195"/>
          <w:tab w:val="left" w:pos="1267"/>
          <w:tab w:val="left" w:pos="1742"/>
          <w:tab w:val="left" w:pos="2218"/>
          <w:tab w:val="left" w:pos="2693"/>
        </w:tabs>
        <w:spacing w:line="210" w:lineRule="exact"/>
        <w:ind w:left="1267" w:right="1267" w:hanging="576"/>
        <w:rPr>
          <w:rFonts w:eastAsia="Times New Roman"/>
          <w:color w:val="000000"/>
          <w:sz w:val="16"/>
          <w:szCs w:val="16"/>
        </w:rPr>
      </w:pPr>
      <w:r w:rsidRPr="0056783D">
        <w:rPr>
          <w:color w:val="000000"/>
          <w:sz w:val="16"/>
        </w:rPr>
        <w:tab/>
      </w:r>
      <w:r>
        <w:rPr>
          <w:sz w:val="16"/>
          <w:szCs w:val="16"/>
          <w:vertAlign w:val="superscript"/>
        </w:rPr>
        <w:footnoteRef/>
      </w:r>
      <w:r>
        <w:rPr>
          <w:color w:val="000000"/>
          <w:sz w:val="16"/>
        </w:rPr>
        <w:t xml:space="preserve"> </w:t>
      </w:r>
      <w:r w:rsidRPr="00055BFC">
        <w:rPr>
          <w:color w:val="000000"/>
          <w:sz w:val="16"/>
        </w:rPr>
        <w:tab/>
      </w:r>
      <w:r w:rsidRPr="00055BFC">
        <w:rPr>
          <w:color w:val="000000"/>
          <w:spacing w:val="5"/>
          <w:w w:val="104"/>
          <w:sz w:val="17"/>
        </w:rPr>
        <w:t>SPPIA 2410.A1 — заключение на уровне задач.</w:t>
      </w:r>
    </w:p>
  </w:footnote>
  <w:footnote w:id="14">
    <w:p w14:paraId="1715052C" w14:textId="2E40D639" w:rsidR="00055BFC" w:rsidRPr="00DE4FE3" w:rsidRDefault="00055BFC" w:rsidP="00055BFC">
      <w:pPr>
        <w:pBdr>
          <w:top w:val="nil"/>
          <w:left w:val="nil"/>
          <w:bottom w:val="nil"/>
          <w:right w:val="nil"/>
          <w:between w:val="nil"/>
        </w:pBdr>
        <w:tabs>
          <w:tab w:val="right" w:pos="1195"/>
          <w:tab w:val="left" w:pos="1267"/>
          <w:tab w:val="left" w:pos="1742"/>
          <w:tab w:val="left" w:pos="2218"/>
          <w:tab w:val="left" w:pos="2693"/>
        </w:tabs>
        <w:spacing w:line="210" w:lineRule="exact"/>
        <w:ind w:left="1267" w:right="1267" w:hanging="576"/>
        <w:rPr>
          <w:rFonts w:eastAsia="Times New Roman"/>
          <w:color w:val="000000"/>
          <w:sz w:val="16"/>
          <w:szCs w:val="16"/>
        </w:rPr>
      </w:pPr>
      <w:r w:rsidRPr="0056783D">
        <w:rPr>
          <w:spacing w:val="5"/>
          <w:w w:val="104"/>
          <w:sz w:val="17"/>
        </w:rPr>
        <w:tab/>
      </w:r>
      <w:r>
        <w:rPr>
          <w:sz w:val="16"/>
          <w:szCs w:val="16"/>
          <w:vertAlign w:val="superscript"/>
        </w:rPr>
        <w:footnoteRef/>
      </w:r>
      <w:r w:rsidRPr="00055BFC">
        <w:rPr>
          <w:spacing w:val="5"/>
          <w:w w:val="104"/>
          <w:sz w:val="17"/>
        </w:rPr>
        <w:tab/>
        <w:t>Термин «просроченная рекомендация» теперь используется в гармонизированном подходе в отношении тех рекомендаций, которые остаются невыполненными по истечении 18 месяцев с момента публикации отчета.</w:t>
      </w:r>
    </w:p>
  </w:footnote>
  <w:footnote w:id="15">
    <w:p w14:paraId="1C74362A" w14:textId="694B2EA9" w:rsidR="00055BFC" w:rsidRPr="009D649D" w:rsidRDefault="00055BFC" w:rsidP="00055BFC">
      <w:pPr>
        <w:pStyle w:val="FootnoteText"/>
        <w:tabs>
          <w:tab w:val="clear" w:pos="418"/>
          <w:tab w:val="right" w:pos="1195"/>
          <w:tab w:val="left" w:pos="1267"/>
          <w:tab w:val="left" w:pos="1742"/>
          <w:tab w:val="left" w:pos="2218"/>
          <w:tab w:val="left" w:pos="2693"/>
        </w:tabs>
        <w:ind w:left="1267" w:right="1267" w:hanging="576"/>
        <w:rPr>
          <w:rFonts w:eastAsia="Times New Roman"/>
          <w:sz w:val="16"/>
          <w:szCs w:val="16"/>
        </w:rPr>
      </w:pPr>
      <w:r w:rsidRPr="0056783D">
        <w:tab/>
      </w:r>
      <w:r>
        <w:rPr>
          <w:sz w:val="16"/>
          <w:szCs w:val="16"/>
          <w:vertAlign w:val="superscript"/>
        </w:rPr>
        <w:footnoteRef/>
      </w:r>
      <w:r w:rsidRPr="00055BFC">
        <w:tab/>
        <w:t>Публикация означает размещение выпущенных отчетов по проведенным аудитам на веб-странице «Аудиты и расследования веб-сайта ЮНФПА» (</w:t>
      </w:r>
      <w:hyperlink r:id="rId4" w:history="1">
        <w:r w:rsidRPr="00055BFC">
          <w:rPr>
            <w:rStyle w:val="Hyperlink"/>
          </w:rPr>
          <w:t>https://www.unfpa.org/audit-and-investigation</w:t>
        </w:r>
      </w:hyperlink>
      <w:r w:rsidRPr="00055BFC">
        <w:t>).</w:t>
      </w:r>
    </w:p>
  </w:footnote>
  <w:footnote w:id="16">
    <w:p w14:paraId="314EA02E" w14:textId="77777777" w:rsidR="00055BFC" w:rsidRPr="002A7A5A" w:rsidRDefault="00055BFC" w:rsidP="00055BFC">
      <w:pPr>
        <w:pBdr>
          <w:top w:val="nil"/>
          <w:left w:val="nil"/>
          <w:bottom w:val="nil"/>
          <w:right w:val="nil"/>
          <w:between w:val="nil"/>
        </w:pBdr>
        <w:tabs>
          <w:tab w:val="right" w:pos="1195"/>
          <w:tab w:val="left" w:pos="1267"/>
          <w:tab w:val="left" w:pos="1742"/>
          <w:tab w:val="left" w:pos="2218"/>
          <w:tab w:val="left" w:pos="2693"/>
        </w:tabs>
        <w:spacing w:line="210" w:lineRule="exact"/>
        <w:ind w:left="1267" w:right="1267" w:hanging="576"/>
        <w:rPr>
          <w:rFonts w:eastAsia="Times New Roman"/>
          <w:color w:val="000000"/>
          <w:spacing w:val="-2"/>
          <w:sz w:val="16"/>
          <w:szCs w:val="16"/>
        </w:rPr>
      </w:pPr>
      <w:r>
        <w:rPr>
          <w:spacing w:val="-2"/>
          <w:sz w:val="16"/>
          <w:szCs w:val="16"/>
          <w:vertAlign w:val="superscript"/>
        </w:rPr>
        <w:footnoteRef/>
      </w:r>
      <w:r>
        <w:rPr>
          <w:color w:val="000000"/>
          <w:sz w:val="16"/>
        </w:rPr>
        <w:t xml:space="preserve"> </w:t>
      </w:r>
      <w:r w:rsidRPr="00055BFC">
        <w:rPr>
          <w:color w:val="000000"/>
          <w:spacing w:val="5"/>
          <w:w w:val="104"/>
          <w:sz w:val="17"/>
        </w:rPr>
        <w:t>Одно дело, зарегистрированное в УАР, может содержать несколько обвинений. УАР составляет статистику на основе основного обвинения, указанного в каждом деле.</w:t>
      </w:r>
    </w:p>
  </w:footnote>
  <w:footnote w:id="17">
    <w:p w14:paraId="3063E405" w14:textId="77777777" w:rsidR="00055BFC" w:rsidRPr="00DE4FE3" w:rsidRDefault="00055BFC" w:rsidP="00055BFC">
      <w:pPr>
        <w:pBdr>
          <w:top w:val="nil"/>
          <w:left w:val="nil"/>
          <w:bottom w:val="nil"/>
          <w:right w:val="nil"/>
          <w:between w:val="nil"/>
        </w:pBdr>
        <w:tabs>
          <w:tab w:val="right" w:pos="1195"/>
          <w:tab w:val="left" w:pos="1267"/>
          <w:tab w:val="left" w:pos="1742"/>
          <w:tab w:val="left" w:pos="2218"/>
          <w:tab w:val="left" w:pos="2693"/>
        </w:tabs>
        <w:spacing w:line="210" w:lineRule="exact"/>
        <w:ind w:left="1267" w:right="1267" w:hanging="576"/>
        <w:rPr>
          <w:rFonts w:eastAsia="Times New Roman"/>
          <w:color w:val="000000"/>
          <w:sz w:val="16"/>
          <w:szCs w:val="16"/>
        </w:rPr>
      </w:pPr>
      <w:r>
        <w:rPr>
          <w:spacing w:val="-2"/>
          <w:sz w:val="16"/>
          <w:szCs w:val="16"/>
          <w:vertAlign w:val="superscript"/>
        </w:rPr>
        <w:footnoteRef/>
      </w:r>
      <w:r>
        <w:rPr>
          <w:color w:val="000000"/>
          <w:sz w:val="16"/>
        </w:rPr>
        <w:t xml:space="preserve"> </w:t>
      </w:r>
      <w:r w:rsidRPr="00055BFC">
        <w:rPr>
          <w:color w:val="000000"/>
          <w:spacing w:val="5"/>
          <w:w w:val="104"/>
          <w:sz w:val="17"/>
        </w:rPr>
        <w:t>По мере рассмотрения 314 дел в 2024 году некоторые из основных обвинений по ним (категория, под которой зарегистрировано дело) могли измениться.</w:t>
      </w:r>
    </w:p>
  </w:footnote>
  <w:footnote w:id="18">
    <w:p w14:paraId="032F6F75" w14:textId="3288CDD1" w:rsidR="00055BFC" w:rsidRPr="00DE4FE3" w:rsidRDefault="00055BFC" w:rsidP="00055BFC">
      <w:pPr>
        <w:pStyle w:val="FootnoteText"/>
        <w:tabs>
          <w:tab w:val="clear" w:pos="418"/>
          <w:tab w:val="right" w:pos="1195"/>
          <w:tab w:val="left" w:pos="1267"/>
          <w:tab w:val="left" w:pos="1742"/>
          <w:tab w:val="left" w:pos="2218"/>
          <w:tab w:val="left" w:pos="2693"/>
        </w:tabs>
        <w:ind w:left="1267" w:right="1267" w:hanging="576"/>
        <w:rPr>
          <w:sz w:val="16"/>
          <w:szCs w:val="16"/>
        </w:rPr>
      </w:pPr>
      <w:r w:rsidRPr="0056783D">
        <w:tab/>
      </w:r>
      <w:r w:rsidRPr="00182D04">
        <w:rPr>
          <w:rStyle w:val="FootnoteReference"/>
        </w:rPr>
        <w:footnoteRef/>
      </w:r>
      <w:r w:rsidRPr="00055BFC">
        <w:tab/>
        <w:t>В 2024 году УАР направило девять направлений/консультативных меморандумов, касающихся девяти из этих непрофильных дел, в соответствующее отделение ЮНФПА или, в случае необходимости, в другую организацию системы Организации Объединенных Наций. Там, где это было возможно и целесообразно, УАР подтверждало получение непрофильных материалов и информировало заявителя, если с ним можно было связаться, о юрисдикционных ограничениях УАР.</w:t>
      </w:r>
    </w:p>
  </w:footnote>
  <w:footnote w:id="19">
    <w:p w14:paraId="4DD39499" w14:textId="2B325A36" w:rsidR="00055BFC" w:rsidRPr="0005241F" w:rsidRDefault="007E3045" w:rsidP="00055BFC">
      <w:pPr>
        <w:pStyle w:val="FootnoteText"/>
        <w:tabs>
          <w:tab w:val="clear" w:pos="418"/>
          <w:tab w:val="right" w:pos="1195"/>
          <w:tab w:val="left" w:pos="1267"/>
          <w:tab w:val="left" w:pos="1742"/>
          <w:tab w:val="left" w:pos="2218"/>
          <w:tab w:val="left" w:pos="2693"/>
        </w:tabs>
        <w:ind w:left="1267" w:right="1267" w:hanging="576"/>
        <w:rPr>
          <w:sz w:val="16"/>
          <w:szCs w:val="16"/>
        </w:rPr>
      </w:pPr>
      <w:r w:rsidRPr="0056783D">
        <w:tab/>
      </w:r>
      <w:r w:rsidR="00055BFC" w:rsidRPr="00182D04">
        <w:rPr>
          <w:rStyle w:val="FootnoteReference"/>
        </w:rPr>
        <w:footnoteRef/>
      </w:r>
      <w:r w:rsidRPr="007E3045">
        <w:tab/>
      </w:r>
      <w:r w:rsidR="00055BFC" w:rsidRPr="00055BFC">
        <w:t>В отношении дел, закрытых на основании служебной записки, УАР собрало доказательства и определило, что: (</w:t>
      </w:r>
      <w:r w:rsidR="00055BFC" w:rsidRPr="00055BFC">
        <w:rPr>
          <w:lang w:val="en-US"/>
        </w:rPr>
        <w:t>a</w:t>
      </w:r>
      <w:r w:rsidR="00055BFC" w:rsidRPr="00055BFC">
        <w:t>) вопрос не относится к задачам УАР; (</w:t>
      </w:r>
      <w:r w:rsidR="00055BFC" w:rsidRPr="00055BFC">
        <w:rPr>
          <w:lang w:val="en-US"/>
        </w:rPr>
        <w:t>b</w:t>
      </w:r>
      <w:r w:rsidR="00055BFC" w:rsidRPr="00055BFC">
        <w:t>) нет объективных признаков того, что могло произойти правонарушение; (</w:t>
      </w:r>
      <w:r w:rsidR="00055BFC" w:rsidRPr="00055BFC">
        <w:rPr>
          <w:lang w:val="en-US"/>
        </w:rPr>
        <w:t>c</w:t>
      </w:r>
      <w:r w:rsidR="00055BFC" w:rsidRPr="00055BFC">
        <w:t>) нет конкретной информации, которая могла бы стать основанием для проведения официального расследования; (</w:t>
      </w:r>
      <w:r w:rsidR="00055BFC" w:rsidRPr="00055BFC">
        <w:rPr>
          <w:lang w:val="en-US"/>
        </w:rPr>
        <w:t>d</w:t>
      </w:r>
      <w:r w:rsidR="00055BFC" w:rsidRPr="00055BFC">
        <w:t>) вопрос не заслуживает проведения полномасштабного расследования, (</w:t>
      </w:r>
      <w:r w:rsidR="00055BFC" w:rsidRPr="00055BFC">
        <w:rPr>
          <w:lang w:val="en-US"/>
        </w:rPr>
        <w:t>e</w:t>
      </w:r>
      <w:r w:rsidR="00055BFC" w:rsidRPr="00055BFC">
        <w:t>) расследование не является наиболее подходящим действием, или (</w:t>
      </w:r>
      <w:r w:rsidR="00055BFC" w:rsidRPr="00055BFC">
        <w:rPr>
          <w:lang w:val="en-US"/>
        </w:rPr>
        <w:t>f</w:t>
      </w:r>
      <w:r w:rsidR="00055BFC" w:rsidRPr="00055BFC">
        <w:t>) применяется один или несколько расширенных критериев закрытия дела, закрепленных в рабочих планах УАР на 2023 и 2024 годы.</w:t>
      </w:r>
    </w:p>
  </w:footnote>
  <w:footnote w:id="20">
    <w:p w14:paraId="48F89B28" w14:textId="6FACBE7E" w:rsidR="00055BFC" w:rsidRPr="006C21E3" w:rsidRDefault="009D6AEA" w:rsidP="00055BFC">
      <w:pPr>
        <w:pStyle w:val="FootnoteText"/>
        <w:tabs>
          <w:tab w:val="clear" w:pos="418"/>
          <w:tab w:val="right" w:pos="1195"/>
          <w:tab w:val="left" w:pos="1267"/>
          <w:tab w:val="left" w:pos="1742"/>
          <w:tab w:val="left" w:pos="2218"/>
          <w:tab w:val="left" w:pos="2693"/>
        </w:tabs>
        <w:ind w:left="1267" w:right="1267" w:hanging="576"/>
        <w:rPr>
          <w:sz w:val="16"/>
          <w:szCs w:val="16"/>
        </w:rPr>
      </w:pPr>
      <w:r w:rsidRPr="007E3045">
        <w:tab/>
      </w:r>
      <w:r w:rsidR="00055BFC">
        <w:rPr>
          <w:rStyle w:val="FootnoteReference"/>
          <w:sz w:val="16"/>
          <w:szCs w:val="16"/>
        </w:rPr>
        <w:footnoteRef/>
      </w:r>
      <w:r w:rsidRPr="009D6AEA">
        <w:tab/>
      </w:r>
      <w:r w:rsidR="00055BFC" w:rsidRPr="00055BFC">
        <w:t xml:space="preserve">УАР отмечает, что с учетом общей суммы убытков в размере 2 613 691 долл. США был отмечено одно крупное дело с убытком в размере 2 271 466 долл. США (т. е. 87 процентов от общей суммы финансовых убытков в 2024 году), однако следует отметить, что эти убытки связаны с мошенническими действиями бывшего партнера-исполнителя, которые имели место в период с 2013 по 2018 год и которые были доведены до сведения УАР только в 2022 году.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221BD9" w14:paraId="48507DDF" w14:textId="77777777" w:rsidTr="00221BD9">
      <w:trPr>
        <w:trHeight w:hRule="exact" w:val="864"/>
      </w:trPr>
      <w:tc>
        <w:tcPr>
          <w:tcW w:w="4920" w:type="dxa"/>
          <w:shd w:val="clear" w:color="auto" w:fill="auto"/>
          <w:vAlign w:val="bottom"/>
        </w:tcPr>
        <w:p w14:paraId="54429820" w14:textId="006485E4" w:rsidR="00221BD9" w:rsidRPr="00221BD9" w:rsidRDefault="00221BD9" w:rsidP="00221BD9">
          <w:pPr>
            <w:pStyle w:val="Header"/>
            <w:spacing w:after="80"/>
            <w:rPr>
              <w:b/>
            </w:rPr>
          </w:pPr>
          <w:r>
            <w:rPr>
              <w:b/>
            </w:rPr>
            <w:fldChar w:fldCharType="begin"/>
          </w:r>
          <w:r>
            <w:rPr>
              <w:b/>
            </w:rPr>
            <w:instrText xml:space="preserve"> DOCVARIABLE "sss1" \* MERGEFORMAT </w:instrText>
          </w:r>
          <w:r>
            <w:rPr>
              <w:b/>
            </w:rPr>
            <w:fldChar w:fldCharType="separate"/>
          </w:r>
          <w:r w:rsidR="00554C05">
            <w:rPr>
              <w:b/>
            </w:rPr>
            <w:t>DP/FPA/2025/6</w:t>
          </w:r>
          <w:r>
            <w:rPr>
              <w:b/>
            </w:rPr>
            <w:fldChar w:fldCharType="end"/>
          </w:r>
        </w:p>
      </w:tc>
      <w:tc>
        <w:tcPr>
          <w:tcW w:w="4920" w:type="dxa"/>
          <w:shd w:val="clear" w:color="auto" w:fill="auto"/>
          <w:vAlign w:val="bottom"/>
        </w:tcPr>
        <w:p w14:paraId="19D2D560" w14:textId="77777777" w:rsidR="00221BD9" w:rsidRDefault="00221BD9" w:rsidP="00221BD9">
          <w:pPr>
            <w:pStyle w:val="Header"/>
          </w:pPr>
        </w:p>
      </w:tc>
    </w:tr>
  </w:tbl>
  <w:p w14:paraId="425ED20C" w14:textId="77777777" w:rsidR="00221BD9" w:rsidRPr="00221BD9" w:rsidRDefault="00221BD9" w:rsidP="00221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221BD9" w14:paraId="5489DFD8" w14:textId="77777777" w:rsidTr="00221BD9">
      <w:trPr>
        <w:trHeight w:hRule="exact" w:val="864"/>
      </w:trPr>
      <w:tc>
        <w:tcPr>
          <w:tcW w:w="4920" w:type="dxa"/>
          <w:shd w:val="clear" w:color="auto" w:fill="auto"/>
          <w:vAlign w:val="bottom"/>
        </w:tcPr>
        <w:p w14:paraId="0E34CAFD" w14:textId="77777777" w:rsidR="00221BD9" w:rsidRDefault="00221BD9" w:rsidP="00221BD9">
          <w:pPr>
            <w:pStyle w:val="Header"/>
          </w:pPr>
        </w:p>
      </w:tc>
      <w:tc>
        <w:tcPr>
          <w:tcW w:w="4920" w:type="dxa"/>
          <w:shd w:val="clear" w:color="auto" w:fill="auto"/>
          <w:vAlign w:val="bottom"/>
        </w:tcPr>
        <w:p w14:paraId="1A5BF31A" w14:textId="2E228CAD" w:rsidR="00221BD9" w:rsidRPr="00221BD9" w:rsidRDefault="00221BD9" w:rsidP="00221BD9">
          <w:pPr>
            <w:pStyle w:val="Header"/>
            <w:spacing w:after="80"/>
            <w:jc w:val="right"/>
            <w:rPr>
              <w:b/>
            </w:rPr>
          </w:pPr>
          <w:r>
            <w:rPr>
              <w:b/>
            </w:rPr>
            <w:fldChar w:fldCharType="begin"/>
          </w:r>
          <w:r>
            <w:rPr>
              <w:b/>
            </w:rPr>
            <w:instrText xml:space="preserve"> DOCVARIABLE "sss1" \* MERGEFORMAT </w:instrText>
          </w:r>
          <w:r>
            <w:rPr>
              <w:b/>
            </w:rPr>
            <w:fldChar w:fldCharType="separate"/>
          </w:r>
          <w:r w:rsidR="00554C05">
            <w:rPr>
              <w:b/>
            </w:rPr>
            <w:t>DP/FPA/2025/6</w:t>
          </w:r>
          <w:r>
            <w:rPr>
              <w:b/>
            </w:rPr>
            <w:fldChar w:fldCharType="end"/>
          </w:r>
        </w:p>
      </w:tc>
    </w:tr>
  </w:tbl>
  <w:p w14:paraId="501E1E25" w14:textId="77777777" w:rsidR="00221BD9" w:rsidRPr="00221BD9" w:rsidRDefault="00221BD9" w:rsidP="00221B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4"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110"/>
      <w:gridCol w:w="15"/>
    </w:tblGrid>
    <w:tr w:rsidR="00221BD9" w14:paraId="1A4C3770" w14:textId="77777777" w:rsidTr="00221BD9">
      <w:trPr>
        <w:trHeight w:hRule="exact" w:val="864"/>
      </w:trPr>
      <w:tc>
        <w:tcPr>
          <w:tcW w:w="4421" w:type="dxa"/>
          <w:gridSpan w:val="2"/>
          <w:tcBorders>
            <w:bottom w:val="single" w:sz="4" w:space="0" w:color="auto"/>
          </w:tcBorders>
          <w:shd w:val="clear" w:color="auto" w:fill="auto"/>
          <w:vAlign w:val="bottom"/>
        </w:tcPr>
        <w:p w14:paraId="4799363D" w14:textId="3C0D7332" w:rsidR="00221BD9" w:rsidRPr="00221BD9" w:rsidRDefault="00221BD9" w:rsidP="00221BD9">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14:paraId="5BC29781" w14:textId="77777777" w:rsidR="00221BD9" w:rsidRDefault="00221BD9" w:rsidP="00221BD9">
          <w:pPr>
            <w:pStyle w:val="Header"/>
            <w:spacing w:after="120"/>
          </w:pPr>
        </w:p>
      </w:tc>
      <w:tc>
        <w:tcPr>
          <w:tcW w:w="5198" w:type="dxa"/>
          <w:gridSpan w:val="4"/>
          <w:tcBorders>
            <w:bottom w:val="single" w:sz="4" w:space="0" w:color="auto"/>
          </w:tcBorders>
          <w:shd w:val="clear" w:color="auto" w:fill="auto"/>
          <w:vAlign w:val="bottom"/>
        </w:tcPr>
        <w:p w14:paraId="533B056E" w14:textId="556218C7" w:rsidR="00221BD9" w:rsidRPr="00221BD9" w:rsidRDefault="00221BD9" w:rsidP="00221BD9">
          <w:pPr>
            <w:pStyle w:val="Header"/>
            <w:spacing w:after="20"/>
            <w:jc w:val="right"/>
            <w:rPr>
              <w:sz w:val="20"/>
            </w:rPr>
          </w:pPr>
          <w:r>
            <w:rPr>
              <w:sz w:val="40"/>
            </w:rPr>
            <w:t>DP</w:t>
          </w:r>
          <w:r>
            <w:rPr>
              <w:sz w:val="20"/>
            </w:rPr>
            <w:t>/FPA/2025/6</w:t>
          </w:r>
        </w:p>
      </w:tc>
    </w:tr>
    <w:tr w:rsidR="00221BD9" w:rsidRPr="0056783D" w14:paraId="45A4DBE9" w14:textId="77777777" w:rsidTr="00221BD9">
      <w:trPr>
        <w:gridAfter w:val="1"/>
        <w:wAfter w:w="15" w:type="dxa"/>
        <w:trHeight w:hRule="exact" w:val="2880"/>
      </w:trPr>
      <w:tc>
        <w:tcPr>
          <w:tcW w:w="1267" w:type="dxa"/>
          <w:tcBorders>
            <w:top w:val="single" w:sz="4" w:space="0" w:color="auto"/>
            <w:bottom w:val="single" w:sz="12" w:space="0" w:color="auto"/>
          </w:tcBorders>
          <w:shd w:val="clear" w:color="auto" w:fill="auto"/>
        </w:tcPr>
        <w:p w14:paraId="78F77B6E" w14:textId="30D68FFC" w:rsidR="00221BD9" w:rsidRPr="00221BD9" w:rsidRDefault="00221BD9" w:rsidP="00221BD9">
          <w:pPr>
            <w:pStyle w:val="Header"/>
            <w:spacing w:before="109"/>
            <w:ind w:left="29"/>
            <w:jc w:val="center"/>
          </w:pPr>
          <w:r>
            <w:drawing>
              <wp:inline distT="0" distB="0" distL="0" distR="0" wp14:anchorId="325E86A5" wp14:editId="3E49D792">
                <wp:extent cx="713232" cy="597103"/>
                <wp:effectExtent l="0" t="0" r="0" b="0"/>
                <wp:docPr id="1322171764" name="Picture 1"/>
                <wp:cNvGraphicFramePr/>
                <a:graphic xmlns:a="http://schemas.openxmlformats.org/drawingml/2006/main">
                  <a:graphicData uri="http://schemas.openxmlformats.org/drawingml/2006/picture">
                    <pic:pic xmlns:pic="http://schemas.openxmlformats.org/drawingml/2006/picture">
                      <pic:nvPicPr>
                        <pic:cNvPr id="1322171764"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4947308F" w14:textId="31DFCE16" w:rsidR="00221BD9" w:rsidRPr="00221BD9" w:rsidRDefault="00221BD9" w:rsidP="00221BD9">
          <w:pPr>
            <w:pStyle w:val="XLarge"/>
            <w:spacing w:before="90" w:line="340" w:lineRule="exact"/>
            <w:rPr>
              <w:sz w:val="34"/>
            </w:rPr>
          </w:pPr>
          <w:r>
            <w:rPr>
              <w:sz w:val="34"/>
            </w:rPr>
            <w:t>Исполнительный совет</w:t>
          </w:r>
          <w:r>
            <w:rPr>
              <w:sz w:val="34"/>
            </w:rPr>
            <w:br/>
            <w:t>Программы развития</w:t>
          </w:r>
          <w:r>
            <w:rPr>
              <w:sz w:val="34"/>
            </w:rPr>
            <w:br/>
            <w:t>Организации Объединенных</w:t>
          </w:r>
          <w:r>
            <w:rPr>
              <w:sz w:val="34"/>
            </w:rPr>
            <w:br/>
            <w:t>Наций, Фонда Организации</w:t>
          </w:r>
          <w:r>
            <w:rPr>
              <w:sz w:val="34"/>
            </w:rPr>
            <w:br/>
            <w:t>Объединенных Наций в области</w:t>
          </w:r>
          <w:r>
            <w:rPr>
              <w:sz w:val="34"/>
            </w:rPr>
            <w:br/>
            <w:t>народонаселения и Управления</w:t>
          </w:r>
          <w:r>
            <w:rPr>
              <w:sz w:val="34"/>
            </w:rPr>
            <w:br/>
            <w:t>Организации Объединенных</w:t>
          </w:r>
          <w:r>
            <w:rPr>
              <w:sz w:val="34"/>
            </w:rPr>
            <w:br/>
            <w:t>Наций по обслуживанию проектов</w:t>
          </w:r>
        </w:p>
      </w:tc>
      <w:tc>
        <w:tcPr>
          <w:tcW w:w="245" w:type="dxa"/>
          <w:tcBorders>
            <w:top w:val="single" w:sz="4" w:space="0" w:color="auto"/>
            <w:bottom w:val="single" w:sz="12" w:space="0" w:color="auto"/>
          </w:tcBorders>
          <w:shd w:val="clear" w:color="auto" w:fill="auto"/>
        </w:tcPr>
        <w:p w14:paraId="4B1EB2B1" w14:textId="77777777" w:rsidR="00221BD9" w:rsidRPr="00055BFC" w:rsidRDefault="00221BD9" w:rsidP="00221BD9">
          <w:pPr>
            <w:pStyle w:val="Header"/>
            <w:spacing w:before="109"/>
            <w:rPr>
              <w:lang w:val="ru-RU"/>
            </w:rPr>
          </w:pPr>
        </w:p>
      </w:tc>
      <w:tc>
        <w:tcPr>
          <w:tcW w:w="3110" w:type="dxa"/>
          <w:tcBorders>
            <w:top w:val="single" w:sz="4" w:space="0" w:color="auto"/>
            <w:bottom w:val="single" w:sz="12" w:space="0" w:color="auto"/>
          </w:tcBorders>
          <w:shd w:val="clear" w:color="auto" w:fill="auto"/>
        </w:tcPr>
        <w:p w14:paraId="2C169BFC" w14:textId="77777777" w:rsidR="00221BD9" w:rsidRPr="00055BFC" w:rsidRDefault="00221BD9" w:rsidP="00221BD9">
          <w:pPr>
            <w:pStyle w:val="Distribution"/>
            <w:spacing w:before="240"/>
            <w:rPr>
              <w:color w:val="000000"/>
              <w:lang w:val="en-US"/>
            </w:rPr>
          </w:pPr>
          <w:r w:rsidRPr="00055BFC">
            <w:rPr>
              <w:color w:val="000000"/>
              <w:lang w:val="en-US"/>
            </w:rPr>
            <w:t>Distr.: General</w:t>
          </w:r>
        </w:p>
        <w:p w14:paraId="5538FB6E" w14:textId="38B80551" w:rsidR="00221BD9" w:rsidRPr="00055BFC" w:rsidRDefault="00055BFC" w:rsidP="00221BD9">
          <w:pPr>
            <w:pStyle w:val="Publication"/>
            <w:rPr>
              <w:color w:val="000000"/>
              <w:lang w:val="en-US"/>
            </w:rPr>
          </w:pPr>
          <w:r>
            <w:rPr>
              <w:color w:val="000000"/>
              <w:lang w:val="en-US"/>
            </w:rPr>
            <w:t>5</w:t>
          </w:r>
          <w:r w:rsidR="00221BD9" w:rsidRPr="00055BFC">
            <w:rPr>
              <w:color w:val="000000"/>
              <w:lang w:val="en-US"/>
            </w:rPr>
            <w:t xml:space="preserve"> </w:t>
          </w:r>
          <w:r>
            <w:rPr>
              <w:color w:val="000000"/>
              <w:lang w:val="en-US"/>
            </w:rPr>
            <w:t xml:space="preserve">April </w:t>
          </w:r>
          <w:r w:rsidR="00221BD9" w:rsidRPr="00055BFC">
            <w:rPr>
              <w:color w:val="000000"/>
              <w:lang w:val="en-US"/>
            </w:rPr>
            <w:t>2025</w:t>
          </w:r>
        </w:p>
        <w:p w14:paraId="7D2EC457" w14:textId="77777777" w:rsidR="00221BD9" w:rsidRPr="00055BFC" w:rsidRDefault="00221BD9" w:rsidP="00221BD9">
          <w:pPr>
            <w:rPr>
              <w:color w:val="000000"/>
              <w:lang w:val="en-US"/>
            </w:rPr>
          </w:pPr>
          <w:r w:rsidRPr="00055BFC">
            <w:rPr>
              <w:color w:val="000000"/>
              <w:lang w:val="en-US"/>
            </w:rPr>
            <w:t>Russian</w:t>
          </w:r>
        </w:p>
        <w:p w14:paraId="6691C6A2" w14:textId="77777777" w:rsidR="00221BD9" w:rsidRPr="00055BFC" w:rsidRDefault="00221BD9" w:rsidP="00221BD9">
          <w:pPr>
            <w:pStyle w:val="Original"/>
            <w:rPr>
              <w:color w:val="000000"/>
              <w:lang w:val="en-US"/>
            </w:rPr>
          </w:pPr>
          <w:r w:rsidRPr="00055BFC">
            <w:rPr>
              <w:color w:val="000000"/>
              <w:lang w:val="en-US"/>
            </w:rPr>
            <w:t>Original: English</w:t>
          </w:r>
        </w:p>
        <w:p w14:paraId="73BA1AD9" w14:textId="5E2956F2" w:rsidR="00221BD9" w:rsidRPr="00055BFC" w:rsidRDefault="00221BD9" w:rsidP="00221BD9">
          <w:pPr>
            <w:rPr>
              <w:lang w:val="en-US"/>
            </w:rPr>
          </w:pPr>
        </w:p>
      </w:tc>
    </w:tr>
  </w:tbl>
  <w:p w14:paraId="0A71C0C7" w14:textId="77777777" w:rsidR="00221BD9" w:rsidRPr="00221BD9" w:rsidRDefault="00221BD9" w:rsidP="00221BD9">
    <w:pPr>
      <w:pStyle w:val="Header"/>
      <w:spacing w:line="20" w:lineRule="exact"/>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055BFC" w14:paraId="159746C1" w14:textId="77777777" w:rsidTr="00221BD9">
      <w:trPr>
        <w:trHeight w:hRule="exact" w:val="864"/>
      </w:trPr>
      <w:tc>
        <w:tcPr>
          <w:tcW w:w="4920" w:type="dxa"/>
          <w:shd w:val="clear" w:color="auto" w:fill="auto"/>
          <w:vAlign w:val="bottom"/>
        </w:tcPr>
        <w:p w14:paraId="03242422" w14:textId="249C021E" w:rsidR="00055BFC" w:rsidRPr="00221BD9" w:rsidRDefault="00055BFC" w:rsidP="00221BD9">
          <w:pPr>
            <w:pStyle w:val="Header"/>
            <w:spacing w:after="80"/>
            <w:rPr>
              <w:b/>
            </w:rPr>
          </w:pPr>
          <w:r>
            <w:rPr>
              <w:b/>
            </w:rPr>
            <w:fldChar w:fldCharType="begin"/>
          </w:r>
          <w:r>
            <w:rPr>
              <w:b/>
            </w:rPr>
            <w:instrText xml:space="preserve"> DOCVARIABLE "sss1" \* MERGEFORMAT </w:instrText>
          </w:r>
          <w:r>
            <w:rPr>
              <w:b/>
            </w:rPr>
            <w:fldChar w:fldCharType="separate"/>
          </w:r>
          <w:r w:rsidR="00554C05">
            <w:rPr>
              <w:b/>
            </w:rPr>
            <w:t>DP/FPA/2025/6</w:t>
          </w:r>
          <w:r>
            <w:rPr>
              <w:b/>
            </w:rPr>
            <w:fldChar w:fldCharType="end"/>
          </w:r>
        </w:p>
      </w:tc>
      <w:tc>
        <w:tcPr>
          <w:tcW w:w="4920" w:type="dxa"/>
          <w:shd w:val="clear" w:color="auto" w:fill="auto"/>
          <w:vAlign w:val="bottom"/>
        </w:tcPr>
        <w:p w14:paraId="1C8AD843" w14:textId="77777777" w:rsidR="00055BFC" w:rsidRDefault="00055BFC" w:rsidP="00221BD9">
          <w:pPr>
            <w:pStyle w:val="Header"/>
          </w:pPr>
        </w:p>
      </w:tc>
    </w:tr>
  </w:tbl>
  <w:p w14:paraId="67821E5F" w14:textId="77777777" w:rsidR="00055BFC" w:rsidRPr="00221BD9" w:rsidRDefault="00055BFC" w:rsidP="00221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E03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3B45F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696AA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F90FBFC"/>
    <w:lvl w:ilvl="0">
      <w:start w:val="1"/>
      <w:numFmt w:val="decimal"/>
      <w:pStyle w:val="ListNumber2"/>
      <w:lvlText w:val="%1."/>
      <w:lvlJc w:val="left"/>
      <w:pPr>
        <w:tabs>
          <w:tab w:val="num" w:pos="720"/>
        </w:tabs>
        <w:ind w:left="720" w:hanging="360"/>
      </w:pPr>
    </w:lvl>
  </w:abstractNum>
  <w:abstractNum w:abstractNumId="4" w15:restartNumberingAfterBreak="0">
    <w:nsid w:val="FFFFFF88"/>
    <w:multiLevelType w:val="singleLevel"/>
    <w:tmpl w:val="A6660E90"/>
    <w:lvl w:ilvl="0">
      <w:start w:val="1"/>
      <w:numFmt w:val="decimal"/>
      <w:pStyle w:val="ListNumber"/>
      <w:lvlText w:val="%1."/>
      <w:lvlJc w:val="left"/>
      <w:pPr>
        <w:tabs>
          <w:tab w:val="num" w:pos="360"/>
        </w:tabs>
        <w:ind w:left="360" w:hanging="360"/>
      </w:pPr>
    </w:lvl>
  </w:abstractNum>
  <w:abstractNum w:abstractNumId="5" w15:restartNumberingAfterBreak="0">
    <w:nsid w:val="20064EA1"/>
    <w:multiLevelType w:val="multilevel"/>
    <w:tmpl w:val="A350D984"/>
    <w:lvl w:ilvl="0">
      <w:start w:val="1"/>
      <w:numFmt w:val="lowerLetter"/>
      <w:pStyle w:val="Subheading"/>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15:restartNumberingAfterBreak="0">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7" w15:restartNumberingAfterBreak="0">
    <w:nsid w:val="225B3D73"/>
    <w:multiLevelType w:val="multilevel"/>
    <w:tmpl w:val="5A26E986"/>
    <w:lvl w:ilvl="0">
      <w:start w:val="1"/>
      <w:numFmt w:val="bullet"/>
      <w:pStyle w:val="Normaltex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B121B36"/>
    <w:multiLevelType w:val="multilevel"/>
    <w:tmpl w:val="B30C855A"/>
    <w:lvl w:ilvl="0">
      <w:start w:val="1"/>
      <w:numFmt w:val="upperRoman"/>
      <w:pStyle w:val="HeadI"/>
      <w:lvlText w:val="%1."/>
      <w:lvlJc w:val="right"/>
      <w:pPr>
        <w:ind w:left="36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9B7959"/>
    <w:multiLevelType w:val="multilevel"/>
    <w:tmpl w:val="36027960"/>
    <w:lvl w:ilvl="0">
      <w:start w:val="1"/>
      <w:numFmt w:val="lowerLetter"/>
      <w:lvlText w:val="%1."/>
      <w:lvlJc w:val="left"/>
      <w:pPr>
        <w:ind w:left="900" w:hanging="360"/>
      </w:pPr>
      <w:rPr>
        <w:rFonts w:ascii="Times New Roman" w:eastAsia="Times New Roman" w:hAnsi="Times New Roman" w:cs="Times New Roman"/>
        <w:b/>
        <w:sz w:val="20"/>
        <w:szCs w:val="20"/>
      </w:rPr>
    </w:lvl>
    <w:lvl w:ilvl="1">
      <w:start w:val="1"/>
      <w:numFmt w:val="lowerLetter"/>
      <w:pStyle w:val="Numapara"/>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0" w15:restartNumberingAfterBreak="0">
    <w:nsid w:val="405F2C5B"/>
    <w:multiLevelType w:val="multilevel"/>
    <w:tmpl w:val="40067448"/>
    <w:lvl w:ilvl="0">
      <w:start w:val="1"/>
      <w:numFmt w:val="decimal"/>
      <w:pStyle w:val="Para1"/>
      <w:lvlText w:val="%1."/>
      <w:lvlJc w:val="left"/>
      <w:pPr>
        <w:ind w:left="720" w:hanging="360"/>
      </w:pPr>
      <w:rPr>
        <w:rFonts w:ascii="Times New Roman" w:eastAsia="Times New Roman" w:hAnsi="Times New Roman" w:cs="Times New Roman"/>
        <w:b w:val="0"/>
        <w:sz w:val="20"/>
        <w:szCs w:val="2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4E42048"/>
    <w:multiLevelType w:val="hybridMultilevel"/>
    <w:tmpl w:val="7DF806B6"/>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265142"/>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4" w15:restartNumberingAfterBreak="0">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5" w15:restartNumberingAfterBreak="0">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6" w15:restartNumberingAfterBreak="0">
    <w:nsid w:val="70F70BFE"/>
    <w:multiLevelType w:val="multilevel"/>
    <w:tmpl w:val="DE2CDDE0"/>
    <w:lvl w:ilvl="0">
      <w:start w:val="1"/>
      <w:numFmt w:val="lowerLetter"/>
      <w:pStyle w:val="Num1para"/>
      <w:lvlText w:val="(%1)"/>
      <w:lvlJc w:val="left"/>
      <w:pPr>
        <w:ind w:left="1145" w:hanging="425"/>
      </w:pPr>
      <w:rPr>
        <w:rFonts w:ascii="Times New Roman" w:eastAsia="Times New Roman" w:hAnsi="Times New Roman" w:cs="Times New Roman" w:hint="default"/>
        <w:b w:val="0"/>
        <w:i w:val="0"/>
        <w:sz w:val="20"/>
        <w:szCs w:val="20"/>
      </w:rPr>
    </w:lvl>
    <w:lvl w:ilvl="1">
      <w:numFmt w:val="bullet"/>
      <w:lvlText w:val="•"/>
      <w:lvlJc w:val="left"/>
      <w:pPr>
        <w:ind w:left="2023" w:hanging="425"/>
      </w:pPr>
      <w:rPr>
        <w:rFonts w:hint="default"/>
      </w:rPr>
    </w:lvl>
    <w:lvl w:ilvl="2">
      <w:numFmt w:val="bullet"/>
      <w:lvlText w:val="•"/>
      <w:lvlJc w:val="left"/>
      <w:pPr>
        <w:ind w:left="2899" w:hanging="425"/>
      </w:pPr>
      <w:rPr>
        <w:rFonts w:hint="default"/>
      </w:rPr>
    </w:lvl>
    <w:lvl w:ilvl="3">
      <w:numFmt w:val="bullet"/>
      <w:lvlText w:val="•"/>
      <w:lvlJc w:val="left"/>
      <w:pPr>
        <w:ind w:left="3775" w:hanging="425"/>
      </w:pPr>
      <w:rPr>
        <w:rFonts w:hint="default"/>
      </w:rPr>
    </w:lvl>
    <w:lvl w:ilvl="4">
      <w:numFmt w:val="bullet"/>
      <w:lvlText w:val="•"/>
      <w:lvlJc w:val="left"/>
      <w:pPr>
        <w:ind w:left="4651" w:hanging="425"/>
      </w:pPr>
      <w:rPr>
        <w:rFonts w:hint="default"/>
      </w:rPr>
    </w:lvl>
    <w:lvl w:ilvl="5">
      <w:numFmt w:val="bullet"/>
      <w:lvlText w:val="•"/>
      <w:lvlJc w:val="left"/>
      <w:pPr>
        <w:ind w:left="5527" w:hanging="425"/>
      </w:pPr>
      <w:rPr>
        <w:rFonts w:hint="default"/>
      </w:rPr>
    </w:lvl>
    <w:lvl w:ilvl="6">
      <w:numFmt w:val="bullet"/>
      <w:lvlText w:val="•"/>
      <w:lvlJc w:val="left"/>
      <w:pPr>
        <w:ind w:left="6403" w:hanging="425"/>
      </w:pPr>
      <w:rPr>
        <w:rFonts w:hint="default"/>
      </w:rPr>
    </w:lvl>
    <w:lvl w:ilvl="7">
      <w:numFmt w:val="bullet"/>
      <w:lvlText w:val="•"/>
      <w:lvlJc w:val="left"/>
      <w:pPr>
        <w:ind w:left="7279" w:hanging="425"/>
      </w:pPr>
      <w:rPr>
        <w:rFonts w:hint="default"/>
      </w:rPr>
    </w:lvl>
    <w:lvl w:ilvl="8">
      <w:numFmt w:val="bullet"/>
      <w:lvlText w:val="•"/>
      <w:lvlJc w:val="left"/>
      <w:pPr>
        <w:ind w:left="8155" w:hanging="425"/>
      </w:pPr>
      <w:rPr>
        <w:rFonts w:hint="default"/>
      </w:rPr>
    </w:lvl>
  </w:abstractNum>
  <w:abstractNum w:abstractNumId="17" w15:restartNumberingAfterBreak="0">
    <w:nsid w:val="729F100D"/>
    <w:multiLevelType w:val="multilevel"/>
    <w:tmpl w:val="1EBC9BB6"/>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abstractNum w:abstractNumId="18" w15:restartNumberingAfterBreak="0">
    <w:nsid w:val="750513EB"/>
    <w:multiLevelType w:val="multilevel"/>
    <w:tmpl w:val="6AC203E8"/>
    <w:lvl w:ilvl="0">
      <w:start w:val="1"/>
      <w:numFmt w:val="decimal"/>
      <w:lvlText w:val="%1."/>
      <w:lvlJc w:val="left"/>
      <w:pPr>
        <w:ind w:left="1920" w:hanging="360"/>
      </w:pPr>
      <w:rPr>
        <w:b w:val="0"/>
        <w:i w:val="0"/>
        <w:sz w:val="20"/>
        <w:szCs w:val="20"/>
      </w:rPr>
    </w:lvl>
    <w:lvl w:ilvl="1">
      <w:start w:val="1"/>
      <w:numFmt w:val="lowerLetter"/>
      <w:pStyle w:val="Paraa"/>
      <w:lvlText w:val="(%2)"/>
      <w:lvlJc w:val="left"/>
      <w:pPr>
        <w:ind w:left="4788" w:hanging="360"/>
      </w:pPr>
      <w:rPr>
        <w:rFonts w:ascii="Times New Roman" w:eastAsia="Times New Roman" w:hAnsi="Times New Roman" w:cs="Times New Roman"/>
        <w:sz w:val="20"/>
        <w:szCs w:val="20"/>
      </w:rPr>
    </w:lvl>
    <w:lvl w:ilvl="2">
      <w:numFmt w:val="bullet"/>
      <w:lvlText w:val="-"/>
      <w:lvlJc w:val="left"/>
      <w:pPr>
        <w:ind w:left="5688" w:hanging="360"/>
      </w:pPr>
      <w:rPr>
        <w:rFonts w:ascii="Times New Roman" w:eastAsia="Times New Roman" w:hAnsi="Times New Roman" w:cs="Times New Roman"/>
      </w:rPr>
    </w:lvl>
    <w:lvl w:ilvl="3">
      <w:start w:val="1"/>
      <w:numFmt w:val="decimal"/>
      <w:lvlText w:val="%4."/>
      <w:lvlJc w:val="left"/>
      <w:pPr>
        <w:ind w:left="6228" w:hanging="360"/>
      </w:pPr>
    </w:lvl>
    <w:lvl w:ilvl="4">
      <w:start w:val="1"/>
      <w:numFmt w:val="lowerLetter"/>
      <w:lvlText w:val="%5."/>
      <w:lvlJc w:val="left"/>
      <w:pPr>
        <w:ind w:left="6948" w:hanging="360"/>
      </w:pPr>
    </w:lvl>
    <w:lvl w:ilvl="5">
      <w:start w:val="1"/>
      <w:numFmt w:val="lowerRoman"/>
      <w:lvlText w:val="%6."/>
      <w:lvlJc w:val="right"/>
      <w:pPr>
        <w:ind w:left="7668" w:hanging="180"/>
      </w:pPr>
    </w:lvl>
    <w:lvl w:ilvl="6">
      <w:start w:val="1"/>
      <w:numFmt w:val="decimal"/>
      <w:lvlText w:val="%7."/>
      <w:lvlJc w:val="left"/>
      <w:pPr>
        <w:ind w:left="8388" w:hanging="360"/>
      </w:pPr>
    </w:lvl>
    <w:lvl w:ilvl="7">
      <w:start w:val="1"/>
      <w:numFmt w:val="lowerLetter"/>
      <w:lvlText w:val="%8."/>
      <w:lvlJc w:val="left"/>
      <w:pPr>
        <w:ind w:left="9108" w:hanging="360"/>
      </w:pPr>
    </w:lvl>
    <w:lvl w:ilvl="8">
      <w:start w:val="1"/>
      <w:numFmt w:val="lowerRoman"/>
      <w:lvlText w:val="%9."/>
      <w:lvlJc w:val="right"/>
      <w:pPr>
        <w:ind w:left="9828" w:hanging="180"/>
      </w:pPr>
    </w:lvl>
  </w:abstractNum>
  <w:abstractNum w:abstractNumId="19" w15:restartNumberingAfterBreak="0">
    <w:nsid w:val="77861BCC"/>
    <w:multiLevelType w:val="multilevel"/>
    <w:tmpl w:val="B6F2DD18"/>
    <w:lvl w:ilvl="0">
      <w:start w:val="1"/>
      <w:numFmt w:val="upperLetter"/>
      <w:pStyle w:val="HeadA"/>
      <w:lvlText w:val="%1."/>
      <w:lvlJc w:val="left"/>
      <w:pPr>
        <w:ind w:left="36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0907156">
    <w:abstractNumId w:val="11"/>
  </w:num>
  <w:num w:numId="2" w16cid:durableId="1926570458">
    <w:abstractNumId w:val="4"/>
  </w:num>
  <w:num w:numId="3" w16cid:durableId="331371891">
    <w:abstractNumId w:val="3"/>
  </w:num>
  <w:num w:numId="4" w16cid:durableId="1460761738">
    <w:abstractNumId w:val="2"/>
  </w:num>
  <w:num w:numId="5" w16cid:durableId="1528719216">
    <w:abstractNumId w:val="1"/>
  </w:num>
  <w:num w:numId="6" w16cid:durableId="745079833">
    <w:abstractNumId w:val="0"/>
  </w:num>
  <w:num w:numId="7" w16cid:durableId="36052305">
    <w:abstractNumId w:val="15"/>
  </w:num>
  <w:num w:numId="8" w16cid:durableId="1679231921">
    <w:abstractNumId w:val="6"/>
  </w:num>
  <w:num w:numId="9" w16cid:durableId="1031536774">
    <w:abstractNumId w:val="14"/>
  </w:num>
  <w:num w:numId="10" w16cid:durableId="1877236076">
    <w:abstractNumId w:val="13"/>
  </w:num>
  <w:num w:numId="11" w16cid:durableId="1461075889">
    <w:abstractNumId w:val="12"/>
  </w:num>
  <w:num w:numId="12" w16cid:durableId="1739941398">
    <w:abstractNumId w:val="7"/>
  </w:num>
  <w:num w:numId="13" w16cid:durableId="1522276742">
    <w:abstractNumId w:val="16"/>
  </w:num>
  <w:num w:numId="14" w16cid:durableId="1480876155">
    <w:abstractNumId w:val="9"/>
  </w:num>
  <w:num w:numId="15" w16cid:durableId="281351648">
    <w:abstractNumId w:val="18"/>
  </w:num>
  <w:num w:numId="16" w16cid:durableId="159204332">
    <w:abstractNumId w:val="5"/>
  </w:num>
  <w:num w:numId="17" w16cid:durableId="1180270040">
    <w:abstractNumId w:val="19"/>
  </w:num>
  <w:num w:numId="18" w16cid:durableId="1426726995">
    <w:abstractNumId w:val="10"/>
  </w:num>
  <w:num w:numId="19" w16cid:durableId="105083472">
    <w:abstractNumId w:val="8"/>
  </w:num>
  <w:num w:numId="20" w16cid:durableId="1182889130">
    <w:abstractNumId w:val="1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rt">
    <w15:presenceInfo w15:providerId="None" w15:userId="Sta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475"/>
  <w:autoHyphenation/>
  <w:doNotHyphenateCaps/>
  <w:evenAndOddHeaders/>
  <w:characterSpacingControl w:val="doNotCompress"/>
  <w:savePreviewPicture/>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genda Title1" w:val="ЮНФПА — Управление аудита и расследований_x000d_"/>
    <w:docVar w:name="Agenda1" w:val="Пункт 3 предварительной повестки дня_x000d_"/>
    <w:docVar w:name="Barcode" w:val="*2507879*"/>
    <w:docVar w:name="CreationDt" w:val="21/05/2025 3:27: PM"/>
    <w:docVar w:name="DocCategory" w:val="Doc"/>
    <w:docVar w:name="DocType" w:val="Final"/>
    <w:docVar w:name="DutyStation" w:val="New York"/>
    <w:docVar w:name="FooterJN" w:val="25-07879"/>
    <w:docVar w:name="jobn" w:val="25-07879 (R)"/>
    <w:docVar w:name="jobnDT" w:val="25-07879 (R)   210525"/>
    <w:docVar w:name="jobnDTDT" w:val="25-07879 (R)   210525   210525"/>
    <w:docVar w:name="JobNo" w:val="2507879R"/>
    <w:docVar w:name="JobNo2" w:val="2512987R"/>
    <w:docVar w:name="LocalDrive" w:val="-1"/>
    <w:docVar w:name="OandT" w:val=" "/>
    <w:docVar w:name="Session1" w:val="Ежегодная сессия 2025 года_x000d_"/>
    <w:docVar w:name="sss1" w:val="DP/FPA/2025/6"/>
    <w:docVar w:name="sss2" w:val="-"/>
    <w:docVar w:name="Symbol1" w:val="DP/FPA/2025/6"/>
    <w:docVar w:name="Symbol2" w:val="-"/>
  </w:docVars>
  <w:rsids>
    <w:rsidRoot w:val="00E64BF5"/>
    <w:rsid w:val="00001169"/>
    <w:rsid w:val="00001469"/>
    <w:rsid w:val="00001967"/>
    <w:rsid w:val="00011BCD"/>
    <w:rsid w:val="000417B2"/>
    <w:rsid w:val="00053995"/>
    <w:rsid w:val="00055BFC"/>
    <w:rsid w:val="000854C4"/>
    <w:rsid w:val="000B5C9A"/>
    <w:rsid w:val="000C675E"/>
    <w:rsid w:val="000E44EF"/>
    <w:rsid w:val="00105618"/>
    <w:rsid w:val="0010630A"/>
    <w:rsid w:val="001101D6"/>
    <w:rsid w:val="00113CAD"/>
    <w:rsid w:val="00116C5B"/>
    <w:rsid w:val="00127B82"/>
    <w:rsid w:val="001325B0"/>
    <w:rsid w:val="00151F81"/>
    <w:rsid w:val="00152846"/>
    <w:rsid w:val="00163607"/>
    <w:rsid w:val="00171CDD"/>
    <w:rsid w:val="00173EEF"/>
    <w:rsid w:val="001978D5"/>
    <w:rsid w:val="001A532D"/>
    <w:rsid w:val="001A655A"/>
    <w:rsid w:val="001D60E1"/>
    <w:rsid w:val="001E6191"/>
    <w:rsid w:val="001F395B"/>
    <w:rsid w:val="001F39CB"/>
    <w:rsid w:val="00212083"/>
    <w:rsid w:val="00221BD9"/>
    <w:rsid w:val="00222A87"/>
    <w:rsid w:val="00247400"/>
    <w:rsid w:val="00264FE2"/>
    <w:rsid w:val="0027492E"/>
    <w:rsid w:val="00290415"/>
    <w:rsid w:val="00297FF3"/>
    <w:rsid w:val="002A2EA6"/>
    <w:rsid w:val="002B723B"/>
    <w:rsid w:val="002E552A"/>
    <w:rsid w:val="0030220F"/>
    <w:rsid w:val="003048C5"/>
    <w:rsid w:val="00304DB4"/>
    <w:rsid w:val="0032070F"/>
    <w:rsid w:val="00327AD7"/>
    <w:rsid w:val="00331D20"/>
    <w:rsid w:val="003430B3"/>
    <w:rsid w:val="00365FD7"/>
    <w:rsid w:val="003801E5"/>
    <w:rsid w:val="003810AC"/>
    <w:rsid w:val="00383B3A"/>
    <w:rsid w:val="003A1E16"/>
    <w:rsid w:val="003D4A88"/>
    <w:rsid w:val="003E1C57"/>
    <w:rsid w:val="003E5E54"/>
    <w:rsid w:val="003F10A6"/>
    <w:rsid w:val="003F75F8"/>
    <w:rsid w:val="00430149"/>
    <w:rsid w:val="00437288"/>
    <w:rsid w:val="00461049"/>
    <w:rsid w:val="0047638E"/>
    <w:rsid w:val="00485A85"/>
    <w:rsid w:val="00495E7B"/>
    <w:rsid w:val="0049669D"/>
    <w:rsid w:val="004A54FC"/>
    <w:rsid w:val="004C0E80"/>
    <w:rsid w:val="004D520D"/>
    <w:rsid w:val="004E04FE"/>
    <w:rsid w:val="004F108A"/>
    <w:rsid w:val="004F2413"/>
    <w:rsid w:val="004F5722"/>
    <w:rsid w:val="00506ECC"/>
    <w:rsid w:val="00512ABB"/>
    <w:rsid w:val="005219FD"/>
    <w:rsid w:val="00522A07"/>
    <w:rsid w:val="0054211F"/>
    <w:rsid w:val="00546DBD"/>
    <w:rsid w:val="005523DA"/>
    <w:rsid w:val="00554C05"/>
    <w:rsid w:val="005610B1"/>
    <w:rsid w:val="0056783D"/>
    <w:rsid w:val="00577F45"/>
    <w:rsid w:val="0058703C"/>
    <w:rsid w:val="0059638A"/>
    <w:rsid w:val="005D4F00"/>
    <w:rsid w:val="005E0E9C"/>
    <w:rsid w:val="005F0DF3"/>
    <w:rsid w:val="00604C75"/>
    <w:rsid w:val="00635E26"/>
    <w:rsid w:val="00636DF9"/>
    <w:rsid w:val="00657F22"/>
    <w:rsid w:val="00670606"/>
    <w:rsid w:val="00687179"/>
    <w:rsid w:val="0069077F"/>
    <w:rsid w:val="006C729C"/>
    <w:rsid w:val="006C7738"/>
    <w:rsid w:val="006F654D"/>
    <w:rsid w:val="00710FE2"/>
    <w:rsid w:val="00716F19"/>
    <w:rsid w:val="007172E7"/>
    <w:rsid w:val="00727155"/>
    <w:rsid w:val="007633C9"/>
    <w:rsid w:val="00777D58"/>
    <w:rsid w:val="00782B27"/>
    <w:rsid w:val="007A06DF"/>
    <w:rsid w:val="007A60A5"/>
    <w:rsid w:val="007B4CD6"/>
    <w:rsid w:val="007B71C4"/>
    <w:rsid w:val="007C6427"/>
    <w:rsid w:val="007C7E00"/>
    <w:rsid w:val="007D32EA"/>
    <w:rsid w:val="007E3045"/>
    <w:rsid w:val="008060AC"/>
    <w:rsid w:val="008138CB"/>
    <w:rsid w:val="0082117D"/>
    <w:rsid w:val="00861374"/>
    <w:rsid w:val="00863195"/>
    <w:rsid w:val="00871053"/>
    <w:rsid w:val="00871428"/>
    <w:rsid w:val="00877270"/>
    <w:rsid w:val="0088056D"/>
    <w:rsid w:val="0089795C"/>
    <w:rsid w:val="008A2590"/>
    <w:rsid w:val="008C0E26"/>
    <w:rsid w:val="008D347F"/>
    <w:rsid w:val="008E4BA0"/>
    <w:rsid w:val="008E5510"/>
    <w:rsid w:val="008F11CA"/>
    <w:rsid w:val="008F4CD7"/>
    <w:rsid w:val="009244E2"/>
    <w:rsid w:val="00935D7C"/>
    <w:rsid w:val="00957D42"/>
    <w:rsid w:val="0098626E"/>
    <w:rsid w:val="009A2AA9"/>
    <w:rsid w:val="009A66D1"/>
    <w:rsid w:val="009B00E9"/>
    <w:rsid w:val="009B4ADE"/>
    <w:rsid w:val="009C17C5"/>
    <w:rsid w:val="009D31D2"/>
    <w:rsid w:val="009D4A67"/>
    <w:rsid w:val="009D56BA"/>
    <w:rsid w:val="009D6AEA"/>
    <w:rsid w:val="009F2546"/>
    <w:rsid w:val="00A04F6A"/>
    <w:rsid w:val="00A249E0"/>
    <w:rsid w:val="00A72797"/>
    <w:rsid w:val="00A75981"/>
    <w:rsid w:val="00AA29EE"/>
    <w:rsid w:val="00AB24E7"/>
    <w:rsid w:val="00AB5989"/>
    <w:rsid w:val="00AF394E"/>
    <w:rsid w:val="00B125A0"/>
    <w:rsid w:val="00B272FA"/>
    <w:rsid w:val="00B27698"/>
    <w:rsid w:val="00B43769"/>
    <w:rsid w:val="00B46CA4"/>
    <w:rsid w:val="00B5015D"/>
    <w:rsid w:val="00B503A0"/>
    <w:rsid w:val="00B61DF7"/>
    <w:rsid w:val="00B6364A"/>
    <w:rsid w:val="00B7299C"/>
    <w:rsid w:val="00B85E78"/>
    <w:rsid w:val="00B901FD"/>
    <w:rsid w:val="00BC2C8A"/>
    <w:rsid w:val="00BF10FE"/>
    <w:rsid w:val="00C16A02"/>
    <w:rsid w:val="00C16C07"/>
    <w:rsid w:val="00C16D72"/>
    <w:rsid w:val="00C174A0"/>
    <w:rsid w:val="00C23B7A"/>
    <w:rsid w:val="00C358FE"/>
    <w:rsid w:val="00C37078"/>
    <w:rsid w:val="00C565F4"/>
    <w:rsid w:val="00C60123"/>
    <w:rsid w:val="00C6119A"/>
    <w:rsid w:val="00C6124C"/>
    <w:rsid w:val="00C819B5"/>
    <w:rsid w:val="00C8694A"/>
    <w:rsid w:val="00CC2D86"/>
    <w:rsid w:val="00CD333C"/>
    <w:rsid w:val="00CE35F9"/>
    <w:rsid w:val="00CE6D93"/>
    <w:rsid w:val="00CF1305"/>
    <w:rsid w:val="00D23FFB"/>
    <w:rsid w:val="00D409D0"/>
    <w:rsid w:val="00D53470"/>
    <w:rsid w:val="00DA4FC6"/>
    <w:rsid w:val="00DA6FF4"/>
    <w:rsid w:val="00DB0712"/>
    <w:rsid w:val="00DB0C23"/>
    <w:rsid w:val="00DB652C"/>
    <w:rsid w:val="00DE1868"/>
    <w:rsid w:val="00DE254A"/>
    <w:rsid w:val="00DF733B"/>
    <w:rsid w:val="00E548DF"/>
    <w:rsid w:val="00E64BF5"/>
    <w:rsid w:val="00E8036E"/>
    <w:rsid w:val="00EA1709"/>
    <w:rsid w:val="00EB1FBD"/>
    <w:rsid w:val="00ED655E"/>
    <w:rsid w:val="00ED6C7A"/>
    <w:rsid w:val="00EE314B"/>
    <w:rsid w:val="00EE5638"/>
    <w:rsid w:val="00F05AC4"/>
    <w:rsid w:val="00F171A3"/>
    <w:rsid w:val="00F65F4F"/>
    <w:rsid w:val="00F66514"/>
    <w:rsid w:val="00F66784"/>
    <w:rsid w:val="00F80067"/>
    <w:rsid w:val="00F800B6"/>
    <w:rsid w:val="00F81DB3"/>
    <w:rsid w:val="00F854EE"/>
    <w:rsid w:val="00F95E56"/>
    <w:rsid w:val="00FB66C6"/>
    <w:rsid w:val="00FC7B5F"/>
    <w:rsid w:val="00FD1B9D"/>
    <w:rsid w:val="00FD3D39"/>
    <w:rsid w:val="00FE1AC0"/>
    <w:rsid w:val="00FE22B0"/>
    <w:rsid w:val="00FF55EC"/>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179EB"/>
  <w15:chartTrackingRefBased/>
  <w15:docId w15:val="{8DFCEDF6-C720-4663-9649-AE5FD39E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123"/>
    <w:pPr>
      <w:suppressAutoHyphens/>
      <w:spacing w:after="0" w:line="240" w:lineRule="exact"/>
    </w:pPr>
    <w:rPr>
      <w:rFonts w:ascii="Times New Roman" w:eastAsiaTheme="minorHAnsi" w:hAnsi="Times New Roman" w:cs="Times New Roman"/>
      <w:spacing w:val="4"/>
      <w:w w:val="103"/>
      <w:sz w:val="20"/>
      <w:lang w:val="ru-RU" w:eastAsia="en-US"/>
    </w:rPr>
  </w:style>
  <w:style w:type="paragraph" w:styleId="Heading1">
    <w:name w:val="heading 1"/>
    <w:basedOn w:val="Normal"/>
    <w:next w:val="Normal"/>
    <w:link w:val="Heading1Char"/>
    <w:uiPriority w:val="9"/>
    <w:qFormat/>
    <w:rsid w:val="00C60123"/>
    <w:pPr>
      <w:keepNext/>
      <w:numPr>
        <w:numId w:val="11"/>
      </w:numPr>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C60123"/>
    <w:pPr>
      <w:keepNext/>
      <w:numPr>
        <w:ilvl w:val="1"/>
        <w:numId w:val="11"/>
      </w:numPr>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C60123"/>
    <w:pPr>
      <w:keepNext/>
      <w:numPr>
        <w:ilvl w:val="2"/>
        <w:numId w:val="11"/>
      </w:numPr>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unhideWhenUsed/>
    <w:qFormat/>
    <w:rsid w:val="00C60123"/>
    <w:pPr>
      <w:numPr>
        <w:ilvl w:val="3"/>
        <w:numId w:val="11"/>
      </w:num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C60123"/>
    <w:pPr>
      <w:numPr>
        <w:ilvl w:val="4"/>
        <w:numId w:val="11"/>
      </w:num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C60123"/>
    <w:pPr>
      <w:numPr>
        <w:ilvl w:val="5"/>
        <w:numId w:val="11"/>
      </w:num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C60123"/>
    <w:pPr>
      <w:numPr>
        <w:ilvl w:val="6"/>
        <w:numId w:val="11"/>
      </w:num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C60123"/>
    <w:pPr>
      <w:numPr>
        <w:ilvl w:val="7"/>
        <w:numId w:val="11"/>
      </w:num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C60123"/>
    <w:pPr>
      <w:numPr>
        <w:ilvl w:val="8"/>
        <w:numId w:val="11"/>
      </w:num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qFormat/>
    <w:rsid w:val="00C60123"/>
    <w:pPr>
      <w:tabs>
        <w:tab w:val="center" w:pos="4320"/>
        <w:tab w:val="right" w:pos="8640"/>
      </w:tabs>
      <w:spacing w:after="0" w:line="240" w:lineRule="auto"/>
    </w:pPr>
    <w:rPr>
      <w:rFonts w:ascii="Times New Roman" w:eastAsiaTheme="minorHAnsi" w:hAnsi="Times New Roman" w:cs="Times New Roman"/>
      <w:noProof/>
      <w:sz w:val="17"/>
      <w:lang w:eastAsia="en-US"/>
    </w:rPr>
  </w:style>
  <w:style w:type="character" w:customStyle="1" w:styleId="HeaderChar">
    <w:name w:val="Header Char"/>
    <w:basedOn w:val="DefaultParagraphFont"/>
    <w:link w:val="Header"/>
    <w:uiPriority w:val="99"/>
    <w:rsid w:val="00C60123"/>
    <w:rPr>
      <w:rFonts w:ascii="Times New Roman" w:eastAsiaTheme="minorHAnsi" w:hAnsi="Times New Roman" w:cs="Times New Roman"/>
      <w:noProof/>
      <w:sz w:val="17"/>
      <w:lang w:eastAsia="en-US"/>
    </w:rPr>
  </w:style>
  <w:style w:type="paragraph" w:styleId="Footer">
    <w:name w:val="footer"/>
    <w:link w:val="FooterChar"/>
    <w:uiPriority w:val="99"/>
    <w:qFormat/>
    <w:rsid w:val="00C60123"/>
    <w:pPr>
      <w:tabs>
        <w:tab w:val="center" w:pos="4320"/>
        <w:tab w:val="right" w:pos="8640"/>
      </w:tabs>
      <w:spacing w:after="0" w:line="240" w:lineRule="auto"/>
    </w:pPr>
    <w:rPr>
      <w:rFonts w:ascii="Times New Roman" w:eastAsiaTheme="minorHAnsi" w:hAnsi="Times New Roman" w:cs="Times New Roman"/>
      <w:b/>
      <w:noProof/>
      <w:sz w:val="17"/>
      <w:lang w:eastAsia="en-US"/>
    </w:rPr>
  </w:style>
  <w:style w:type="character" w:customStyle="1" w:styleId="FooterChar">
    <w:name w:val="Footer Char"/>
    <w:basedOn w:val="DefaultParagraphFont"/>
    <w:link w:val="Footer"/>
    <w:uiPriority w:val="99"/>
    <w:rsid w:val="00C60123"/>
    <w:rPr>
      <w:rFonts w:ascii="Times New Roman" w:eastAsiaTheme="minorHAnsi" w:hAnsi="Times New Roman" w:cs="Times New Roman"/>
      <w:b/>
      <w:noProof/>
      <w:sz w:val="17"/>
      <w:lang w:eastAsia="en-US"/>
    </w:rPr>
  </w:style>
  <w:style w:type="paragraph" w:customStyle="1" w:styleId="HM">
    <w:name w:val="_ H __M"/>
    <w:basedOn w:val="HCh"/>
    <w:next w:val="Normal"/>
    <w:qFormat/>
    <w:rsid w:val="00C60123"/>
    <w:pPr>
      <w:spacing w:line="360" w:lineRule="exact"/>
    </w:pPr>
    <w:rPr>
      <w:spacing w:val="-3"/>
      <w:w w:val="99"/>
      <w:sz w:val="34"/>
    </w:rPr>
  </w:style>
  <w:style w:type="paragraph" w:customStyle="1" w:styleId="H1">
    <w:name w:val="_ H_1"/>
    <w:basedOn w:val="Normal"/>
    <w:next w:val="Normal"/>
    <w:qFormat/>
    <w:rsid w:val="00C60123"/>
    <w:pPr>
      <w:keepNext/>
      <w:keepLines/>
      <w:spacing w:line="270" w:lineRule="exact"/>
      <w:outlineLvl w:val="0"/>
    </w:pPr>
    <w:rPr>
      <w:b/>
      <w:kern w:val="14"/>
      <w:sz w:val="24"/>
    </w:rPr>
  </w:style>
  <w:style w:type="paragraph" w:customStyle="1" w:styleId="HCh">
    <w:name w:val="_ H _Ch"/>
    <w:basedOn w:val="H1"/>
    <w:next w:val="Normal"/>
    <w:qFormat/>
    <w:rsid w:val="00C60123"/>
    <w:pPr>
      <w:spacing w:line="300" w:lineRule="exact"/>
    </w:pPr>
    <w:rPr>
      <w:spacing w:val="-2"/>
      <w:sz w:val="28"/>
    </w:rPr>
  </w:style>
  <w:style w:type="paragraph" w:customStyle="1" w:styleId="H23">
    <w:name w:val="_ H_2/3"/>
    <w:basedOn w:val="H1"/>
    <w:next w:val="Normal"/>
    <w:qFormat/>
    <w:rsid w:val="00C60123"/>
    <w:pPr>
      <w:spacing w:line="240" w:lineRule="exact"/>
      <w:outlineLvl w:val="1"/>
    </w:pPr>
    <w:rPr>
      <w:spacing w:val="2"/>
      <w:sz w:val="20"/>
    </w:rPr>
  </w:style>
  <w:style w:type="paragraph" w:customStyle="1" w:styleId="H4">
    <w:name w:val="_ H_4"/>
    <w:basedOn w:val="Normal"/>
    <w:next w:val="Normal"/>
    <w:qFormat/>
    <w:rsid w:val="00C60123"/>
    <w:pPr>
      <w:keepNext/>
      <w:keepLines/>
      <w:tabs>
        <w:tab w:val="right" w:pos="360"/>
      </w:tabs>
      <w:outlineLvl w:val="3"/>
    </w:pPr>
    <w:rPr>
      <w:i/>
      <w:spacing w:val="3"/>
      <w:kern w:val="14"/>
    </w:rPr>
  </w:style>
  <w:style w:type="paragraph" w:customStyle="1" w:styleId="H56">
    <w:name w:val="_ H_5/6"/>
    <w:basedOn w:val="Normal"/>
    <w:next w:val="Normal"/>
    <w:qFormat/>
    <w:rsid w:val="00C60123"/>
    <w:pPr>
      <w:keepNext/>
      <w:keepLines/>
      <w:tabs>
        <w:tab w:val="right" w:pos="360"/>
      </w:tabs>
      <w:outlineLvl w:val="4"/>
    </w:pPr>
    <w:rPr>
      <w:kern w:val="14"/>
    </w:rPr>
  </w:style>
  <w:style w:type="paragraph" w:customStyle="1" w:styleId="DualTxt">
    <w:name w:val="__Dual Txt"/>
    <w:basedOn w:val="Normal"/>
    <w:qFormat/>
    <w:rsid w:val="00C6012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C60123"/>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C60123"/>
    <w:pPr>
      <w:spacing w:line="540" w:lineRule="exact"/>
    </w:pPr>
    <w:rPr>
      <w:spacing w:val="-8"/>
      <w:w w:val="96"/>
      <w:sz w:val="57"/>
    </w:rPr>
  </w:style>
  <w:style w:type="paragraph" w:customStyle="1" w:styleId="SS">
    <w:name w:val="__S_S"/>
    <w:basedOn w:val="HCh"/>
    <w:next w:val="Normal"/>
    <w:qFormat/>
    <w:rsid w:val="00C60123"/>
    <w:pPr>
      <w:ind w:left="1267" w:right="1267"/>
    </w:pPr>
  </w:style>
  <w:style w:type="paragraph" w:customStyle="1" w:styleId="SingleTxt">
    <w:name w:val="__Single Txt"/>
    <w:basedOn w:val="Normal"/>
    <w:link w:val="SingleTxtChar"/>
    <w:qFormat/>
    <w:rsid w:val="005219FD"/>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uppressAutoHyphens w:val="0"/>
      <w:spacing w:after="120" w:line="240" w:lineRule="atLeast"/>
      <w:ind w:left="1267" w:right="1267"/>
      <w:jc w:val="both"/>
    </w:pPr>
    <w:rPr>
      <w:rFonts w:cstheme="minorBidi"/>
      <w:kern w:val="14"/>
      <w:szCs w:val="20"/>
    </w:rPr>
  </w:style>
  <w:style w:type="paragraph" w:customStyle="1" w:styleId="AgendaItemNormal">
    <w:name w:val="Agenda_Item_Normal"/>
    <w:next w:val="Normal"/>
    <w:qFormat/>
    <w:rsid w:val="00C60123"/>
    <w:pPr>
      <w:spacing w:after="0" w:line="240" w:lineRule="exact"/>
    </w:pPr>
    <w:rPr>
      <w:rFonts w:ascii="Times New Roman" w:eastAsiaTheme="minorHAnsi" w:hAnsi="Times New Roman" w:cs="Times New Roman"/>
      <w:snapToGrid w:val="0"/>
      <w:spacing w:val="4"/>
      <w:w w:val="103"/>
      <w:kern w:val="14"/>
      <w:sz w:val="20"/>
      <w:lang w:val="es-ES" w:eastAsia="en-US"/>
    </w:rPr>
  </w:style>
  <w:style w:type="paragraph" w:customStyle="1" w:styleId="TitleH1">
    <w:name w:val="Title_H1"/>
    <w:basedOn w:val="H1"/>
    <w:next w:val="SingleTxt"/>
    <w:qFormat/>
    <w:rsid w:val="00C60123"/>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qFormat/>
    <w:rsid w:val="000C675E"/>
    <w:pPr>
      <w:keepNext/>
      <w:keepLines/>
      <w:spacing w:line="240" w:lineRule="exact"/>
      <w:ind w:left="0" w:right="4262" w:firstLine="0"/>
      <w:outlineLvl w:val="1"/>
    </w:pPr>
    <w:rPr>
      <w:sz w:val="20"/>
    </w:rPr>
  </w:style>
  <w:style w:type="paragraph" w:customStyle="1" w:styleId="Bullet1">
    <w:name w:val="Bullet 1"/>
    <w:basedOn w:val="Normal"/>
    <w:qFormat/>
    <w:rsid w:val="00C60123"/>
    <w:pPr>
      <w:numPr>
        <w:numId w:val="7"/>
      </w:numPr>
      <w:spacing w:after="120"/>
      <w:ind w:right="1264"/>
      <w:jc w:val="both"/>
    </w:pPr>
  </w:style>
  <w:style w:type="paragraph" w:customStyle="1" w:styleId="Bullet2">
    <w:name w:val="Bullet 2"/>
    <w:basedOn w:val="Normal"/>
    <w:qFormat/>
    <w:rsid w:val="00C60123"/>
    <w:pPr>
      <w:numPr>
        <w:numId w:val="8"/>
      </w:numPr>
      <w:spacing w:after="120"/>
      <w:ind w:right="1264"/>
      <w:jc w:val="both"/>
    </w:pPr>
  </w:style>
  <w:style w:type="paragraph" w:customStyle="1" w:styleId="Bullet3">
    <w:name w:val="Bullet 3"/>
    <w:basedOn w:val="SingleTxt"/>
    <w:qFormat/>
    <w:rsid w:val="00C60123"/>
    <w:pPr>
      <w:numPr>
        <w:numId w:val="9"/>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C60123"/>
    <w:pPr>
      <w:spacing w:after="0" w:line="240" w:lineRule="auto"/>
    </w:pPr>
    <w:rPr>
      <w:rFonts w:ascii="Times New Roman" w:eastAsiaTheme="minorHAnsi" w:hAnsi="Times New Roman" w:cs="Times New Roman"/>
      <w:spacing w:val="4"/>
      <w:w w:val="103"/>
      <w:sz w:val="20"/>
      <w:lang w:val="es-ES" w:eastAsia="en-US"/>
    </w:rPr>
  </w:style>
  <w:style w:type="character" w:styleId="EndnoteReference">
    <w:name w:val="endnote reference"/>
    <w:semiHidden/>
    <w:rsid w:val="00C60123"/>
    <w:rPr>
      <w:color w:val="auto"/>
      <w:spacing w:val="5"/>
      <w:w w:val="103"/>
      <w:kern w:val="14"/>
      <w:position w:val="0"/>
      <w:vertAlign w:val="superscript"/>
    </w:rPr>
  </w:style>
  <w:style w:type="paragraph" w:styleId="EndnoteText">
    <w:name w:val="endnote text"/>
    <w:basedOn w:val="FootnoteText"/>
    <w:link w:val="EndnoteTextChar"/>
    <w:semiHidden/>
    <w:rsid w:val="00C60123"/>
    <w:pPr>
      <w:spacing w:after="80"/>
    </w:pPr>
  </w:style>
  <w:style w:type="character" w:customStyle="1" w:styleId="EndnoteTextChar">
    <w:name w:val="Endnote Text Char"/>
    <w:basedOn w:val="DefaultParagraphFont"/>
    <w:link w:val="EndnoteText"/>
    <w:semiHidden/>
    <w:rsid w:val="00C60123"/>
    <w:rPr>
      <w:rFonts w:ascii="Times New Roman" w:eastAsiaTheme="minorHAnsi" w:hAnsi="Times New Roman" w:cs="Times New Roman"/>
      <w:spacing w:val="5"/>
      <w:w w:val="104"/>
      <w:sz w:val="17"/>
      <w:lang w:val="es-ES" w:eastAsia="en-US"/>
    </w:rPr>
  </w:style>
  <w:style w:type="character" w:styleId="FootnoteReference">
    <w:name w:val="footnote reference"/>
    <w:uiPriority w:val="99"/>
    <w:semiHidden/>
    <w:rsid w:val="00C60123"/>
    <w:rPr>
      <w:color w:val="auto"/>
      <w:spacing w:val="5"/>
      <w:w w:val="103"/>
      <w:kern w:val="14"/>
      <w:position w:val="0"/>
      <w:vertAlign w:val="superscript"/>
    </w:rPr>
  </w:style>
  <w:style w:type="paragraph" w:styleId="FootnoteText">
    <w:name w:val="footnote text"/>
    <w:aliases w:val="FOOTNOTES,fn,single space,footnote text,f,ft,Footnote Text 1,Footnote Text Char1,Footnote Text Char Char,Footnote Text Char Char Char,Footnote Text Char2 Char,Footnote Text Char1 Char Char,ALTS FOOTNOTE,ADB,Geneva 9,Font: Geneva 9"/>
    <w:basedOn w:val="Normal"/>
    <w:link w:val="FootnoteTextChar"/>
    <w:uiPriority w:val="99"/>
    <w:rsid w:val="00C60123"/>
    <w:pPr>
      <w:tabs>
        <w:tab w:val="right" w:pos="418"/>
      </w:tabs>
      <w:spacing w:line="210" w:lineRule="exact"/>
      <w:ind w:left="475" w:hanging="475"/>
    </w:pPr>
    <w:rPr>
      <w:spacing w:val="5"/>
      <w:w w:val="104"/>
      <w:sz w:val="17"/>
    </w:rPr>
  </w:style>
  <w:style w:type="character" w:customStyle="1" w:styleId="FootnoteTextChar">
    <w:name w:val="Footnote Text Char"/>
    <w:aliases w:val="FOOTNOTES Char,fn Char,single space Char,footnote text Char,f Char,ft Char,Footnote Text 1 Char,Footnote Text Char1 Char,Footnote Text Char Char Char1,Footnote Text Char Char Char Char,Footnote Text Char2 Char Char,ALTS FOOTNOTE Char"/>
    <w:basedOn w:val="DefaultParagraphFont"/>
    <w:link w:val="FootnoteText"/>
    <w:uiPriority w:val="99"/>
    <w:rsid w:val="00C60123"/>
    <w:rPr>
      <w:rFonts w:ascii="Times New Roman" w:eastAsiaTheme="minorHAnsi" w:hAnsi="Times New Roman" w:cs="Times New Roman"/>
      <w:spacing w:val="5"/>
      <w:w w:val="104"/>
      <w:sz w:val="17"/>
      <w:lang w:val="es-ES" w:eastAsia="en-US"/>
    </w:rPr>
  </w:style>
  <w:style w:type="character" w:customStyle="1" w:styleId="Heading1Char">
    <w:name w:val="Heading 1 Char"/>
    <w:link w:val="Heading1"/>
    <w:uiPriority w:val="9"/>
    <w:rsid w:val="00C60123"/>
    <w:rPr>
      <w:rFonts w:ascii="Arial" w:eastAsia="Times New Roman" w:hAnsi="Arial" w:cs="Times New Roman"/>
      <w:b/>
      <w:bCs/>
      <w:spacing w:val="4"/>
      <w:w w:val="103"/>
      <w:kern w:val="32"/>
      <w:sz w:val="32"/>
      <w:szCs w:val="28"/>
      <w:lang w:val="ru-RU" w:eastAsia="en-US"/>
    </w:rPr>
  </w:style>
  <w:style w:type="character" w:customStyle="1" w:styleId="Heading2Char">
    <w:name w:val="Heading 2 Char"/>
    <w:link w:val="Heading2"/>
    <w:uiPriority w:val="9"/>
    <w:rsid w:val="00C60123"/>
    <w:rPr>
      <w:rFonts w:ascii="Arial" w:eastAsia="Times New Roman" w:hAnsi="Arial" w:cs="Times New Roman"/>
      <w:b/>
      <w:bCs/>
      <w:i/>
      <w:spacing w:val="4"/>
      <w:w w:val="103"/>
      <w:kern w:val="14"/>
      <w:sz w:val="28"/>
      <w:szCs w:val="26"/>
      <w:lang w:val="ru-RU" w:eastAsia="en-US"/>
    </w:rPr>
  </w:style>
  <w:style w:type="character" w:customStyle="1" w:styleId="Heading3Char">
    <w:name w:val="Heading 3 Char"/>
    <w:link w:val="Heading3"/>
    <w:uiPriority w:val="9"/>
    <w:rsid w:val="00C60123"/>
    <w:rPr>
      <w:rFonts w:ascii="Arial" w:eastAsia="Times New Roman" w:hAnsi="Arial" w:cs="Times New Roman"/>
      <w:b/>
      <w:bCs/>
      <w:spacing w:val="4"/>
      <w:w w:val="103"/>
      <w:kern w:val="14"/>
      <w:sz w:val="26"/>
      <w:lang w:val="ru-RU" w:eastAsia="en-US"/>
    </w:rPr>
  </w:style>
  <w:style w:type="paragraph" w:styleId="ListContinue">
    <w:name w:val="List Continue"/>
    <w:basedOn w:val="Normal"/>
    <w:uiPriority w:val="99"/>
    <w:semiHidden/>
    <w:rsid w:val="009D56BA"/>
    <w:pPr>
      <w:spacing w:after="120"/>
      <w:ind w:left="360"/>
      <w:contextualSpacing/>
    </w:pPr>
  </w:style>
  <w:style w:type="paragraph" w:styleId="ListContinue2">
    <w:name w:val="List Continue 2"/>
    <w:basedOn w:val="Normal"/>
    <w:next w:val="Normal"/>
    <w:uiPriority w:val="99"/>
    <w:rsid w:val="009D56BA"/>
    <w:pPr>
      <w:numPr>
        <w:numId w:val="1"/>
      </w:numPr>
      <w:tabs>
        <w:tab w:val="left" w:pos="792"/>
      </w:tabs>
      <w:spacing w:after="120"/>
    </w:pPr>
  </w:style>
  <w:style w:type="paragraph" w:styleId="ListNumber">
    <w:name w:val="List Number"/>
    <w:basedOn w:val="H1"/>
    <w:next w:val="Normal"/>
    <w:uiPriority w:val="99"/>
    <w:rsid w:val="009D56BA"/>
    <w:pPr>
      <w:numPr>
        <w:numId w:val="2"/>
      </w:numPr>
      <w:contextualSpacing/>
    </w:pPr>
  </w:style>
  <w:style w:type="paragraph" w:styleId="ListNumber2">
    <w:name w:val="List Number 2"/>
    <w:basedOn w:val="H23"/>
    <w:next w:val="Normal"/>
    <w:uiPriority w:val="99"/>
    <w:rsid w:val="009D56BA"/>
    <w:pPr>
      <w:numPr>
        <w:numId w:val="3"/>
      </w:numPr>
      <w:tabs>
        <w:tab w:val="left" w:pos="648"/>
      </w:tabs>
      <w:contextualSpacing/>
    </w:pPr>
  </w:style>
  <w:style w:type="paragraph" w:styleId="ListNumber3">
    <w:name w:val="List Number 3"/>
    <w:basedOn w:val="H23"/>
    <w:next w:val="Normal"/>
    <w:uiPriority w:val="99"/>
    <w:rsid w:val="009D56BA"/>
    <w:pPr>
      <w:numPr>
        <w:numId w:val="4"/>
      </w:numPr>
      <w:tabs>
        <w:tab w:val="left" w:pos="922"/>
      </w:tabs>
      <w:contextualSpacing/>
    </w:pPr>
  </w:style>
  <w:style w:type="paragraph" w:styleId="ListNumber4">
    <w:name w:val="List Number 4"/>
    <w:basedOn w:val="Normal"/>
    <w:uiPriority w:val="99"/>
    <w:rsid w:val="009D56BA"/>
    <w:pPr>
      <w:keepNext/>
      <w:keepLines/>
      <w:numPr>
        <w:numId w:val="5"/>
      </w:numPr>
      <w:tabs>
        <w:tab w:val="left" w:pos="1210"/>
      </w:tabs>
      <w:contextualSpacing/>
      <w:outlineLvl w:val="3"/>
    </w:pPr>
    <w:rPr>
      <w:i/>
      <w:spacing w:val="3"/>
    </w:rPr>
  </w:style>
  <w:style w:type="paragraph" w:styleId="ListNumber5">
    <w:name w:val="List Number 5"/>
    <w:basedOn w:val="Normal"/>
    <w:next w:val="Normal"/>
    <w:uiPriority w:val="99"/>
    <w:rsid w:val="009D56BA"/>
    <w:pPr>
      <w:numPr>
        <w:numId w:val="6"/>
      </w:numPr>
      <w:tabs>
        <w:tab w:val="left" w:pos="1498"/>
      </w:tabs>
      <w:contextualSpacing/>
    </w:pPr>
  </w:style>
  <w:style w:type="paragraph" w:styleId="NoSpacing">
    <w:name w:val="No Spacing"/>
    <w:basedOn w:val="Normal"/>
    <w:link w:val="NoSpacingChar"/>
    <w:uiPriority w:val="1"/>
    <w:rsid w:val="00C60123"/>
    <w:pPr>
      <w:spacing w:line="240" w:lineRule="auto"/>
    </w:pPr>
  </w:style>
  <w:style w:type="paragraph" w:customStyle="1" w:styleId="Original">
    <w:name w:val="Original"/>
    <w:next w:val="Normal"/>
    <w:autoRedefine/>
    <w:qFormat/>
    <w:rsid w:val="00C60123"/>
    <w:pPr>
      <w:spacing w:after="0" w:line="240" w:lineRule="auto"/>
    </w:pPr>
    <w:rPr>
      <w:rFonts w:ascii="Times New Roman" w:eastAsiaTheme="minorHAnsi" w:hAnsi="Times New Roman" w:cs="Times New Roman"/>
      <w:spacing w:val="4"/>
      <w:w w:val="103"/>
      <w:sz w:val="20"/>
      <w:lang w:val="es-ES" w:eastAsia="en-US"/>
    </w:rPr>
  </w:style>
  <w:style w:type="paragraph" w:customStyle="1" w:styleId="Publication">
    <w:name w:val="Publication"/>
    <w:next w:val="Normal"/>
    <w:autoRedefine/>
    <w:qFormat/>
    <w:rsid w:val="00C60123"/>
    <w:pPr>
      <w:spacing w:after="0" w:line="240" w:lineRule="auto"/>
    </w:pPr>
    <w:rPr>
      <w:rFonts w:ascii="Times New Roman" w:eastAsiaTheme="minorHAnsi" w:hAnsi="Times New Roman" w:cs="Times New Roman"/>
      <w:spacing w:val="4"/>
      <w:w w:val="103"/>
      <w:sz w:val="20"/>
      <w:lang w:val="es-ES" w:eastAsia="en-US"/>
    </w:rPr>
  </w:style>
  <w:style w:type="paragraph" w:customStyle="1" w:styleId="ReleaseDate">
    <w:name w:val="ReleaseDate"/>
    <w:next w:val="Footer"/>
    <w:autoRedefine/>
    <w:qFormat/>
    <w:rsid w:val="00C60123"/>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qFormat/>
    <w:rsid w:val="00C60123"/>
    <w:pPr>
      <w:tabs>
        <w:tab w:val="right" w:pos="9965"/>
      </w:tabs>
      <w:spacing w:line="210" w:lineRule="exact"/>
    </w:pPr>
    <w:rPr>
      <w:spacing w:val="5"/>
      <w:w w:val="104"/>
      <w:kern w:val="14"/>
      <w:sz w:val="17"/>
    </w:rPr>
  </w:style>
  <w:style w:type="paragraph" w:customStyle="1" w:styleId="SmallX">
    <w:name w:val="SmallX"/>
    <w:basedOn w:val="Small"/>
    <w:next w:val="Normal"/>
    <w:qFormat/>
    <w:rsid w:val="00C60123"/>
    <w:pPr>
      <w:spacing w:line="180" w:lineRule="exact"/>
      <w:jc w:val="right"/>
    </w:pPr>
    <w:rPr>
      <w:spacing w:val="6"/>
      <w:w w:val="106"/>
      <w:sz w:val="14"/>
    </w:rPr>
  </w:style>
  <w:style w:type="paragraph" w:customStyle="1" w:styleId="TitleHCH">
    <w:name w:val="Title_H_CH"/>
    <w:basedOn w:val="HCh"/>
    <w:next w:val="SingleTxt"/>
    <w:qFormat/>
    <w:rsid w:val="00C6012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C6012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C60123"/>
    <w:pPr>
      <w:tabs>
        <w:tab w:val="right" w:leader="dot" w:pos="360"/>
      </w:tabs>
      <w:spacing w:line="390" w:lineRule="exact"/>
    </w:pPr>
    <w:rPr>
      <w:spacing w:val="-4"/>
      <w:w w:val="98"/>
      <w:sz w:val="40"/>
    </w:rPr>
  </w:style>
  <w:style w:type="paragraph" w:customStyle="1" w:styleId="AgendaItemNumber">
    <w:name w:val="Agenda_Item_Number"/>
    <w:next w:val="Normal"/>
    <w:qFormat/>
    <w:rsid w:val="00EA1709"/>
    <w:pPr>
      <w:tabs>
        <w:tab w:val="left" w:pos="2880"/>
      </w:tabs>
      <w:spacing w:after="120" w:line="240" w:lineRule="exact"/>
    </w:pPr>
    <w:rPr>
      <w:rFonts w:ascii="Times New Roman" w:eastAsiaTheme="minorHAnsi" w:hAnsi="Times New Roman"/>
      <w:b/>
      <w:spacing w:val="4"/>
      <w:w w:val="103"/>
      <w:kern w:val="14"/>
      <w:sz w:val="20"/>
      <w:lang w:eastAsia="en-US"/>
    </w:rPr>
  </w:style>
  <w:style w:type="paragraph" w:customStyle="1" w:styleId="AgendaItemTitle">
    <w:name w:val="Agenda_Item_Title"/>
    <w:basedOn w:val="H1"/>
    <w:next w:val="Normal"/>
    <w:qFormat/>
    <w:rsid w:val="00EA1709"/>
    <w:pPr>
      <w:tabs>
        <w:tab w:val="left" w:pos="2880"/>
      </w:tabs>
      <w:spacing w:after="120" w:line="240" w:lineRule="exact"/>
      <w:ind w:left="2880" w:hanging="2880"/>
      <w:outlineLvl w:val="1"/>
    </w:pPr>
    <w:rPr>
      <w:spacing w:val="2"/>
      <w:sz w:val="20"/>
    </w:rPr>
  </w:style>
  <w:style w:type="paragraph" w:styleId="BalloonText">
    <w:name w:val="Balloon Text"/>
    <w:basedOn w:val="Normal"/>
    <w:link w:val="BalloonTextChar"/>
    <w:uiPriority w:val="99"/>
    <w:semiHidden/>
    <w:rsid w:val="00C60123"/>
    <w:rPr>
      <w:rFonts w:ascii="Tahoma" w:hAnsi="Tahoma" w:cs="Tahoma"/>
      <w:sz w:val="16"/>
      <w:szCs w:val="16"/>
    </w:rPr>
  </w:style>
  <w:style w:type="character" w:customStyle="1" w:styleId="BalloonTextChar">
    <w:name w:val="Balloon Text Char"/>
    <w:basedOn w:val="DefaultParagraphFont"/>
    <w:link w:val="BalloonText"/>
    <w:uiPriority w:val="99"/>
    <w:semiHidden/>
    <w:rsid w:val="00C60123"/>
    <w:rPr>
      <w:rFonts w:ascii="Tahoma" w:eastAsiaTheme="minorHAnsi" w:hAnsi="Tahoma" w:cs="Tahoma"/>
      <w:spacing w:val="4"/>
      <w:w w:val="103"/>
      <w:sz w:val="16"/>
      <w:szCs w:val="16"/>
      <w:lang w:val="es-ES" w:eastAsia="en-US"/>
    </w:rPr>
  </w:style>
  <w:style w:type="paragraph" w:customStyle="1" w:styleId="DecisionNumber">
    <w:name w:val="DecisionNumber"/>
    <w:basedOn w:val="H1"/>
    <w:next w:val="Normal"/>
    <w:qFormat/>
    <w:rsid w:val="00EA1709"/>
    <w:pPr>
      <w:tabs>
        <w:tab w:val="left" w:pos="2880"/>
      </w:tabs>
      <w:spacing w:after="120" w:line="240" w:lineRule="exact"/>
      <w:ind w:left="2880" w:hanging="2880"/>
      <w:outlineLvl w:val="1"/>
    </w:pPr>
    <w:rPr>
      <w:spacing w:val="2"/>
      <w:sz w:val="20"/>
    </w:rPr>
  </w:style>
  <w:style w:type="paragraph" w:customStyle="1" w:styleId="DecisionTitle">
    <w:name w:val="DecisionTitle"/>
    <w:basedOn w:val="H1"/>
    <w:next w:val="Normal"/>
    <w:qFormat/>
    <w:rsid w:val="00EA1709"/>
    <w:pPr>
      <w:tabs>
        <w:tab w:val="left" w:pos="2880"/>
      </w:tabs>
      <w:spacing w:after="120" w:line="240" w:lineRule="exact"/>
      <w:ind w:left="2880" w:hanging="2880"/>
      <w:outlineLvl w:val="1"/>
    </w:pPr>
    <w:rPr>
      <w:spacing w:val="2"/>
      <w:sz w:val="20"/>
    </w:rPr>
  </w:style>
  <w:style w:type="character" w:styleId="FollowedHyperlink">
    <w:name w:val="FollowedHyperlink"/>
    <w:basedOn w:val="DefaultParagraphFont"/>
    <w:uiPriority w:val="99"/>
    <w:semiHidden/>
    <w:unhideWhenUsed/>
    <w:rsid w:val="00EA1709"/>
    <w:rPr>
      <w:color w:val="0000FF"/>
      <w:u w:val="none"/>
    </w:rPr>
  </w:style>
  <w:style w:type="character" w:styleId="Hyperlink">
    <w:name w:val="Hyperlink"/>
    <w:basedOn w:val="DefaultParagraphFont"/>
    <w:uiPriority w:val="99"/>
    <w:rsid w:val="00871053"/>
    <w:rPr>
      <w:color w:val="0000FF"/>
      <w:u w:val="none"/>
    </w:rPr>
  </w:style>
  <w:style w:type="paragraph" w:customStyle="1" w:styleId="MeetingNumber">
    <w:name w:val="MeetingNumber"/>
    <w:basedOn w:val="H1"/>
    <w:next w:val="Normal"/>
    <w:qFormat/>
    <w:rsid w:val="00EA1709"/>
    <w:pPr>
      <w:tabs>
        <w:tab w:val="left" w:pos="2880"/>
      </w:tabs>
      <w:spacing w:after="120" w:line="240" w:lineRule="exact"/>
      <w:ind w:left="2880" w:hanging="2880"/>
      <w:outlineLvl w:val="1"/>
    </w:pPr>
    <w:rPr>
      <w:sz w:val="20"/>
    </w:rPr>
  </w:style>
  <w:style w:type="paragraph" w:customStyle="1" w:styleId="STitleL">
    <w:name w:val="S_Title_L"/>
    <w:basedOn w:val="SM"/>
    <w:next w:val="Normal"/>
    <w:qFormat/>
    <w:rsid w:val="00EA1709"/>
    <w:pPr>
      <w:spacing w:line="540" w:lineRule="exact"/>
    </w:pPr>
    <w:rPr>
      <w:spacing w:val="-8"/>
      <w:w w:val="96"/>
      <w:sz w:val="57"/>
    </w:rPr>
  </w:style>
  <w:style w:type="paragraph" w:customStyle="1" w:styleId="STitleM">
    <w:name w:val="S_Title_M"/>
    <w:basedOn w:val="Normal"/>
    <w:next w:val="Normal"/>
    <w:qFormat/>
    <w:rsid w:val="00EA1709"/>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SM"/>
    <w:next w:val="Normal"/>
    <w:qFormat/>
    <w:rsid w:val="00EA1709"/>
    <w:pPr>
      <w:spacing w:line="300" w:lineRule="exact"/>
      <w:ind w:left="1264" w:right="1264"/>
    </w:pPr>
    <w:rPr>
      <w:sz w:val="28"/>
    </w:rPr>
  </w:style>
  <w:style w:type="paragraph" w:customStyle="1" w:styleId="Session">
    <w:name w:val="Session"/>
    <w:basedOn w:val="H23"/>
    <w:rsid w:val="00871053"/>
  </w:style>
  <w:style w:type="paragraph" w:customStyle="1" w:styleId="Sponsors">
    <w:name w:val="Sponsors"/>
    <w:basedOn w:val="H1"/>
    <w:next w:val="Normal"/>
    <w:qFormat/>
    <w:rsid w:val="00EA1709"/>
    <w:pPr>
      <w:spacing w:line="240" w:lineRule="exact"/>
    </w:pPr>
    <w:rPr>
      <w:sz w:val="20"/>
    </w:rPr>
  </w:style>
  <w:style w:type="paragraph" w:customStyle="1" w:styleId="SRContents">
    <w:name w:val="SR_Contents"/>
    <w:basedOn w:val="Normal"/>
    <w:qFormat/>
    <w:rsid w:val="00EA170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s>
      <w:spacing w:after="120" w:line="240" w:lineRule="atLeast"/>
      <w:ind w:left="1267" w:right="1267"/>
      <w:jc w:val="both"/>
    </w:pPr>
  </w:style>
  <w:style w:type="paragraph" w:customStyle="1" w:styleId="SRMeetingInfo">
    <w:name w:val="SR_Meeting_Info"/>
    <w:next w:val="Normal"/>
    <w:qFormat/>
    <w:rsid w:val="00EA1709"/>
    <w:pPr>
      <w:spacing w:after="0" w:line="240" w:lineRule="exact"/>
    </w:pPr>
    <w:rPr>
      <w:rFonts w:ascii="Times New Roman" w:eastAsiaTheme="minorHAnsi" w:hAnsi="Times New Roman"/>
      <w:spacing w:val="4"/>
      <w:w w:val="103"/>
      <w:kern w:val="14"/>
      <w:sz w:val="20"/>
      <w:lang w:eastAsia="en-US"/>
    </w:rPr>
  </w:style>
  <w:style w:type="paragraph" w:customStyle="1" w:styleId="SummaryRecord">
    <w:name w:val="SummaryRecord"/>
    <w:basedOn w:val="H23"/>
    <w:next w:val="Session"/>
    <w:qFormat/>
    <w:rsid w:val="00EA1709"/>
  </w:style>
  <w:style w:type="character" w:styleId="UnresolvedMention">
    <w:name w:val="Unresolved Mention"/>
    <w:basedOn w:val="DefaultParagraphFont"/>
    <w:uiPriority w:val="99"/>
    <w:semiHidden/>
    <w:unhideWhenUsed/>
    <w:rsid w:val="00EA1709"/>
    <w:rPr>
      <w:color w:val="605E5C"/>
      <w:shd w:val="clear" w:color="auto" w:fill="E1DFDD"/>
    </w:rPr>
  </w:style>
  <w:style w:type="paragraph" w:customStyle="1" w:styleId="7P">
    <w:name w:val="_ 7_ P"/>
    <w:basedOn w:val="Normal"/>
    <w:next w:val="Normal"/>
    <w:qFormat/>
    <w:rsid w:val="00C6012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character" w:customStyle="1" w:styleId="SingleTxtChar">
    <w:name w:val="__Single Txt Char"/>
    <w:link w:val="SingleTxt"/>
    <w:locked/>
    <w:rsid w:val="005219FD"/>
    <w:rPr>
      <w:rFonts w:ascii="Times New Roman" w:eastAsiaTheme="minorHAnsi" w:hAnsi="Times New Roman"/>
      <w:spacing w:val="4"/>
      <w:w w:val="103"/>
      <w:kern w:val="14"/>
      <w:sz w:val="20"/>
      <w:szCs w:val="20"/>
      <w:lang w:val="ru-RU" w:eastAsia="en-US"/>
    </w:rPr>
  </w:style>
  <w:style w:type="paragraph" w:styleId="Caption">
    <w:name w:val="caption"/>
    <w:basedOn w:val="Normal"/>
    <w:next w:val="Normal"/>
    <w:uiPriority w:val="35"/>
    <w:unhideWhenUsed/>
    <w:rsid w:val="00C60123"/>
    <w:pPr>
      <w:spacing w:line="240" w:lineRule="auto"/>
    </w:pPr>
    <w:rPr>
      <w:b/>
      <w:bCs/>
      <w:color w:val="4F81BD"/>
      <w:sz w:val="18"/>
      <w:szCs w:val="18"/>
    </w:rPr>
  </w:style>
  <w:style w:type="character" w:styleId="CommentReference">
    <w:name w:val="annotation reference"/>
    <w:uiPriority w:val="99"/>
    <w:rsid w:val="00C60123"/>
    <w:rPr>
      <w:sz w:val="6"/>
    </w:rPr>
  </w:style>
  <w:style w:type="paragraph" w:customStyle="1" w:styleId="HdBanner">
    <w:name w:val="Hd Banner"/>
    <w:basedOn w:val="Normal"/>
    <w:next w:val="Normal"/>
    <w:qFormat/>
    <w:rsid w:val="00C60123"/>
    <w:pPr>
      <w:keepLines/>
      <w:shd w:val="pct10" w:color="auto" w:fill="FFFFFF"/>
      <w:tabs>
        <w:tab w:val="left" w:pos="2218"/>
      </w:tabs>
      <w:spacing w:line="360" w:lineRule="exact"/>
    </w:pPr>
    <w:rPr>
      <w:b/>
      <w:spacing w:val="1"/>
      <w:kern w:val="14"/>
      <w:position w:val="6"/>
      <w:sz w:val="24"/>
      <w:szCs w:val="24"/>
    </w:rPr>
  </w:style>
  <w:style w:type="paragraph" w:customStyle="1" w:styleId="HdChapterLt">
    <w:name w:val="Hd Chapter Lt"/>
    <w:basedOn w:val="Normal"/>
    <w:next w:val="Normal"/>
    <w:qFormat/>
    <w:rsid w:val="00C60123"/>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C60123"/>
    <w:pPr>
      <w:spacing w:before="240"/>
    </w:pPr>
    <w:rPr>
      <w:b/>
      <w:spacing w:val="-2"/>
      <w:w w:val="100"/>
    </w:rPr>
  </w:style>
  <w:style w:type="paragraph" w:customStyle="1" w:styleId="HdChapterBdLg">
    <w:name w:val="Hd Chapter Bd Lg"/>
    <w:basedOn w:val="HdChapterBD"/>
    <w:next w:val="Normal"/>
    <w:qFormat/>
    <w:rsid w:val="00C60123"/>
    <w:rPr>
      <w:spacing w:val="-3"/>
      <w:w w:val="99"/>
      <w:kern w:val="14"/>
      <w:sz w:val="34"/>
      <w:szCs w:val="34"/>
    </w:rPr>
  </w:style>
  <w:style w:type="character" w:customStyle="1" w:styleId="Heading4Char">
    <w:name w:val="Heading 4 Char"/>
    <w:link w:val="Heading4"/>
    <w:uiPriority w:val="9"/>
    <w:rsid w:val="00C60123"/>
    <w:rPr>
      <w:rFonts w:ascii="Cambria" w:eastAsia="Times New Roman" w:hAnsi="Cambria" w:cs="Times New Roman"/>
      <w:b/>
      <w:bCs/>
      <w:i/>
      <w:iCs/>
      <w:spacing w:val="4"/>
      <w:w w:val="103"/>
      <w:sz w:val="20"/>
      <w:lang w:val="ru-RU" w:eastAsia="en-US"/>
    </w:rPr>
  </w:style>
  <w:style w:type="character" w:customStyle="1" w:styleId="Heading5Char">
    <w:name w:val="Heading 5 Char"/>
    <w:link w:val="Heading5"/>
    <w:uiPriority w:val="9"/>
    <w:rsid w:val="00C60123"/>
    <w:rPr>
      <w:rFonts w:ascii="Cambria" w:eastAsia="Times New Roman" w:hAnsi="Cambria" w:cs="Times New Roman"/>
      <w:b/>
      <w:bCs/>
      <w:color w:val="7F7F7F"/>
      <w:spacing w:val="4"/>
      <w:w w:val="103"/>
      <w:sz w:val="20"/>
      <w:lang w:val="ru-RU" w:eastAsia="en-US"/>
    </w:rPr>
  </w:style>
  <w:style w:type="character" w:customStyle="1" w:styleId="Heading6Char">
    <w:name w:val="Heading 6 Char"/>
    <w:link w:val="Heading6"/>
    <w:uiPriority w:val="9"/>
    <w:rsid w:val="00C60123"/>
    <w:rPr>
      <w:rFonts w:ascii="Cambria" w:eastAsia="Times New Roman" w:hAnsi="Cambria" w:cs="Times New Roman"/>
      <w:b/>
      <w:bCs/>
      <w:i/>
      <w:iCs/>
      <w:color w:val="7F7F7F"/>
      <w:spacing w:val="4"/>
      <w:w w:val="103"/>
      <w:sz w:val="20"/>
      <w:lang w:val="ru-RU" w:eastAsia="en-US"/>
    </w:rPr>
  </w:style>
  <w:style w:type="character" w:customStyle="1" w:styleId="Heading7Char">
    <w:name w:val="Heading 7 Char"/>
    <w:link w:val="Heading7"/>
    <w:uiPriority w:val="9"/>
    <w:semiHidden/>
    <w:rsid w:val="00C60123"/>
    <w:rPr>
      <w:rFonts w:ascii="Cambria" w:eastAsia="Times New Roman" w:hAnsi="Cambria" w:cs="Times New Roman"/>
      <w:i/>
      <w:iCs/>
      <w:spacing w:val="4"/>
      <w:w w:val="103"/>
      <w:sz w:val="20"/>
      <w:lang w:val="ru-RU" w:eastAsia="en-US"/>
    </w:rPr>
  </w:style>
  <w:style w:type="character" w:customStyle="1" w:styleId="Heading8Char">
    <w:name w:val="Heading 8 Char"/>
    <w:link w:val="Heading8"/>
    <w:uiPriority w:val="9"/>
    <w:semiHidden/>
    <w:rsid w:val="00C60123"/>
    <w:rPr>
      <w:rFonts w:ascii="Cambria" w:eastAsia="Times New Roman" w:hAnsi="Cambria" w:cs="Times New Roman"/>
      <w:spacing w:val="4"/>
      <w:w w:val="103"/>
      <w:sz w:val="20"/>
      <w:szCs w:val="20"/>
      <w:lang w:val="ru-RU" w:eastAsia="en-US"/>
    </w:rPr>
  </w:style>
  <w:style w:type="character" w:customStyle="1" w:styleId="Heading9Char">
    <w:name w:val="Heading 9 Char"/>
    <w:link w:val="Heading9"/>
    <w:uiPriority w:val="9"/>
    <w:semiHidden/>
    <w:rsid w:val="00C60123"/>
    <w:rPr>
      <w:rFonts w:ascii="Cambria" w:eastAsia="Times New Roman" w:hAnsi="Cambria" w:cs="Times New Roman"/>
      <w:i/>
      <w:iCs/>
      <w:spacing w:val="5"/>
      <w:w w:val="103"/>
      <w:sz w:val="20"/>
      <w:szCs w:val="20"/>
      <w:lang w:val="ru-RU" w:eastAsia="en-US"/>
    </w:rPr>
  </w:style>
  <w:style w:type="paragraph" w:customStyle="1" w:styleId="JournalHeading1">
    <w:name w:val="Journal_Heading1"/>
    <w:basedOn w:val="Normal"/>
    <w:next w:val="Normal"/>
    <w:qFormat/>
    <w:rsid w:val="00C60123"/>
    <w:pPr>
      <w:keepNext/>
      <w:spacing w:before="190" w:line="270" w:lineRule="exact"/>
    </w:pPr>
    <w:rPr>
      <w:b/>
      <w:kern w:val="14"/>
      <w:sz w:val="24"/>
    </w:rPr>
  </w:style>
  <w:style w:type="paragraph" w:customStyle="1" w:styleId="JournalHeading2">
    <w:name w:val="Journal_Heading2"/>
    <w:basedOn w:val="Normal"/>
    <w:next w:val="Normal"/>
    <w:qFormat/>
    <w:rsid w:val="00C60123"/>
    <w:pPr>
      <w:keepNext/>
      <w:keepLines/>
      <w:spacing w:before="240"/>
      <w:outlineLvl w:val="1"/>
    </w:pPr>
    <w:rPr>
      <w:b/>
      <w:spacing w:val="2"/>
      <w:kern w:val="14"/>
    </w:rPr>
  </w:style>
  <w:style w:type="paragraph" w:customStyle="1" w:styleId="JournalHeading4">
    <w:name w:val="Journal_Heading4"/>
    <w:basedOn w:val="Normal"/>
    <w:next w:val="Normal"/>
    <w:qFormat/>
    <w:rsid w:val="00C60123"/>
    <w:pPr>
      <w:keepNext/>
      <w:keepLines/>
      <w:spacing w:before="240"/>
      <w:outlineLvl w:val="3"/>
    </w:pPr>
    <w:rPr>
      <w:i/>
      <w:kern w:val="14"/>
    </w:rPr>
  </w:style>
  <w:style w:type="character" w:styleId="LineNumber">
    <w:name w:val="line number"/>
    <w:qFormat/>
    <w:rsid w:val="00C60123"/>
    <w:rPr>
      <w:sz w:val="14"/>
    </w:rPr>
  </w:style>
  <w:style w:type="paragraph" w:customStyle="1" w:styleId="NormalBullet">
    <w:name w:val="Normal Bullet"/>
    <w:basedOn w:val="Normal"/>
    <w:next w:val="Normal"/>
    <w:uiPriority w:val="99"/>
    <w:qFormat/>
    <w:rsid w:val="00C60123"/>
    <w:pPr>
      <w:keepLines/>
      <w:numPr>
        <w:numId w:val="10"/>
      </w:numPr>
      <w:tabs>
        <w:tab w:val="left" w:pos="2218"/>
      </w:tabs>
      <w:spacing w:before="40" w:after="80"/>
      <w:ind w:right="302"/>
    </w:pPr>
    <w:rPr>
      <w:kern w:val="14"/>
    </w:rPr>
  </w:style>
  <w:style w:type="paragraph" w:customStyle="1" w:styleId="NormalSchedule">
    <w:name w:val="Normal Schedule"/>
    <w:basedOn w:val="Normal"/>
    <w:next w:val="Normal"/>
    <w:qFormat/>
    <w:rsid w:val="00C60123"/>
    <w:pPr>
      <w:tabs>
        <w:tab w:val="left" w:leader="dot" w:pos="2218"/>
        <w:tab w:val="left" w:pos="2707"/>
        <w:tab w:val="right" w:leader="dot" w:pos="9835"/>
      </w:tabs>
    </w:pPr>
    <w:rPr>
      <w:kern w:val="14"/>
    </w:rPr>
  </w:style>
  <w:style w:type="paragraph" w:styleId="TOCHeading">
    <w:name w:val="TOC Heading"/>
    <w:basedOn w:val="Heading1"/>
    <w:next w:val="Normal"/>
    <w:uiPriority w:val="39"/>
    <w:unhideWhenUsed/>
    <w:qFormat/>
    <w:rsid w:val="00C60123"/>
    <w:pPr>
      <w:outlineLvl w:val="9"/>
    </w:pPr>
    <w:rPr>
      <w:rFonts w:eastAsiaTheme="majorEastAsia" w:cstheme="majorBidi"/>
      <w:lang w:bidi="en-US"/>
    </w:rPr>
  </w:style>
  <w:style w:type="paragraph" w:styleId="PlainText">
    <w:name w:val="Plain Text"/>
    <w:basedOn w:val="Normal"/>
    <w:link w:val="PlainTextChar"/>
    <w:uiPriority w:val="99"/>
    <w:rsid w:val="00871053"/>
    <w:pPr>
      <w:spacing w:line="240" w:lineRule="auto"/>
    </w:pPr>
    <w:rPr>
      <w:rFonts w:ascii="Courier New" w:eastAsia="Times New Roman" w:hAnsi="Courier New"/>
      <w:lang w:eastAsia="en-GB"/>
    </w:rPr>
  </w:style>
  <w:style w:type="character" w:customStyle="1" w:styleId="PlainTextChar">
    <w:name w:val="Plain Text Char"/>
    <w:basedOn w:val="DefaultParagraphFont"/>
    <w:link w:val="PlainText"/>
    <w:uiPriority w:val="99"/>
    <w:rsid w:val="00871053"/>
    <w:rPr>
      <w:rFonts w:ascii="Courier New" w:eastAsia="Times New Roman" w:hAnsi="Courier New" w:cs="Times New Roman"/>
      <w:sz w:val="20"/>
      <w:szCs w:val="20"/>
      <w:lang w:eastAsia="en-GB"/>
    </w:rPr>
  </w:style>
  <w:style w:type="paragraph" w:customStyle="1" w:styleId="ReleaseDate0">
    <w:name w:val="Release Date"/>
    <w:next w:val="Footer"/>
    <w:rsid w:val="00871053"/>
    <w:pPr>
      <w:spacing w:after="0" w:line="240" w:lineRule="auto"/>
    </w:pPr>
    <w:rPr>
      <w:rFonts w:ascii="Times New Roman" w:eastAsiaTheme="minorHAnsi" w:hAnsi="Times New Roman" w:cs="Times New Roman"/>
      <w:spacing w:val="4"/>
      <w:w w:val="103"/>
      <w:kern w:val="14"/>
      <w:sz w:val="20"/>
      <w:szCs w:val="20"/>
      <w:lang w:val="en-GB" w:eastAsia="en-US"/>
    </w:rPr>
  </w:style>
  <w:style w:type="table" w:styleId="TableGrid">
    <w:name w:val="Table Grid"/>
    <w:basedOn w:val="TableNormal"/>
    <w:uiPriority w:val="39"/>
    <w:rsid w:val="00871053"/>
    <w:pPr>
      <w:suppressAutoHyphens/>
      <w:spacing w:after="0" w:line="240" w:lineRule="exac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HeadingH1">
    <w:name w:val="BLUE_Heading_H1"/>
    <w:basedOn w:val="Normal"/>
    <w:next w:val="Normal"/>
    <w:qFormat/>
    <w:rsid w:val="00ED6C7A"/>
    <w:pPr>
      <w:keepNext/>
      <w:keepLines/>
      <w:spacing w:line="270" w:lineRule="exact"/>
      <w:outlineLvl w:val="0"/>
    </w:pPr>
    <w:rPr>
      <w:b/>
      <w:color w:val="0000FF"/>
      <w:kern w:val="14"/>
      <w:sz w:val="24"/>
      <w:szCs w:val="20"/>
    </w:rPr>
  </w:style>
  <w:style w:type="paragraph" w:customStyle="1" w:styleId="BLUEHeadingH2">
    <w:name w:val="BLUE_Heading_H2"/>
    <w:basedOn w:val="BLUEHeadingH1"/>
    <w:next w:val="Normal"/>
    <w:qFormat/>
    <w:rsid w:val="003F75F8"/>
    <w:pPr>
      <w:keepNext w:val="0"/>
      <w:keepLines w:val="0"/>
      <w:spacing w:line="240" w:lineRule="exact"/>
      <w:outlineLvl w:val="1"/>
    </w:pPr>
    <w:rPr>
      <w:sz w:val="20"/>
    </w:rPr>
  </w:style>
  <w:style w:type="paragraph" w:customStyle="1" w:styleId="RepBullet">
    <w:name w:val="Rep_Bullet"/>
    <w:qFormat/>
    <w:rsid w:val="002B723B"/>
    <w:pPr>
      <w:tabs>
        <w:tab w:val="right" w:pos="954"/>
        <w:tab w:val="left" w:pos="1008"/>
        <w:tab w:val="right" w:pos="1685"/>
      </w:tabs>
      <w:spacing w:after="120" w:line="240" w:lineRule="auto"/>
      <w:ind w:left="1008" w:right="432" w:hanging="130"/>
    </w:pPr>
    <w:rPr>
      <w:rFonts w:ascii="Times New Roman" w:eastAsia="Calibri" w:hAnsi="Times New Roman" w:cs="Times New Roman"/>
      <w:spacing w:val="4"/>
      <w:w w:val="103"/>
      <w:kern w:val="14"/>
      <w:sz w:val="20"/>
      <w:szCs w:val="20"/>
      <w:lang w:val="en-GB" w:eastAsia="en-US"/>
    </w:rPr>
  </w:style>
  <w:style w:type="paragraph" w:customStyle="1" w:styleId="RepCtrHdg">
    <w:name w:val="Rep_Ctr_Hdg"/>
    <w:basedOn w:val="Normal"/>
    <w:qFormat/>
    <w:rsid w:val="00C358FE"/>
    <w:pPr>
      <w:spacing w:line="240" w:lineRule="auto"/>
      <w:ind w:left="432" w:right="432"/>
      <w:jc w:val="center"/>
      <w:outlineLvl w:val="0"/>
    </w:pPr>
    <w:rPr>
      <w:rFonts w:eastAsia="Calibri"/>
      <w:b/>
      <w:bCs/>
      <w:kern w:val="14"/>
      <w:sz w:val="40"/>
      <w:szCs w:val="40"/>
      <w:lang w:val="en-GB"/>
    </w:rPr>
  </w:style>
  <w:style w:type="paragraph" w:customStyle="1" w:styleId="RepCtrNumberedHdg">
    <w:name w:val="Rep_Ctr_Numbered_Hdg"/>
    <w:basedOn w:val="Normal"/>
    <w:qFormat/>
    <w:rsid w:val="00C358FE"/>
    <w:pPr>
      <w:spacing w:line="240" w:lineRule="auto"/>
      <w:ind w:left="749" w:hanging="749"/>
      <w:jc w:val="center"/>
      <w:outlineLvl w:val="0"/>
    </w:pPr>
    <w:rPr>
      <w:rFonts w:eastAsia="Calibri"/>
      <w:b/>
      <w:bCs/>
      <w:kern w:val="14"/>
      <w:sz w:val="28"/>
      <w:szCs w:val="28"/>
      <w:lang w:val="en-GB"/>
    </w:rPr>
  </w:style>
  <w:style w:type="paragraph" w:customStyle="1" w:styleId="RepFootnote">
    <w:name w:val="Rep_Footnote"/>
    <w:basedOn w:val="FootnoteText"/>
    <w:qFormat/>
    <w:rsid w:val="00C358FE"/>
    <w:pPr>
      <w:widowControl w:val="0"/>
      <w:tabs>
        <w:tab w:val="clear" w:pos="418"/>
        <w:tab w:val="right" w:pos="954"/>
        <w:tab w:val="left" w:pos="1170"/>
        <w:tab w:val="left" w:pos="1440"/>
      </w:tabs>
      <w:ind w:left="1022" w:right="432" w:hanging="590"/>
    </w:pPr>
    <w:rPr>
      <w:rFonts w:eastAsia="Calibri"/>
      <w:spacing w:val="2"/>
      <w:w w:val="103"/>
      <w:kern w:val="14"/>
      <w:szCs w:val="17"/>
      <w:lang w:val="en-GB"/>
    </w:rPr>
  </w:style>
  <w:style w:type="paragraph" w:customStyle="1" w:styleId="RepH1">
    <w:name w:val="Rep_H1"/>
    <w:basedOn w:val="H1"/>
    <w:qFormat/>
    <w:rsid w:val="00C358FE"/>
    <w:pPr>
      <w:tabs>
        <w:tab w:val="left" w:pos="1008"/>
      </w:tabs>
      <w:spacing w:line="240" w:lineRule="auto"/>
      <w:ind w:left="1022" w:right="432" w:hanging="590"/>
    </w:pPr>
    <w:rPr>
      <w:rFonts w:eastAsia="Calibri"/>
      <w:bCs/>
      <w:szCs w:val="24"/>
      <w:lang w:val="en-GB"/>
    </w:rPr>
  </w:style>
  <w:style w:type="paragraph" w:customStyle="1" w:styleId="RepH1Margin">
    <w:name w:val="Rep_H1_Margin"/>
    <w:basedOn w:val="H1"/>
    <w:qFormat/>
    <w:rsid w:val="00C358FE"/>
    <w:pPr>
      <w:ind w:left="432" w:right="432"/>
    </w:pPr>
    <w:rPr>
      <w:rFonts w:eastAsia="Calibri"/>
      <w:szCs w:val="20"/>
      <w:lang w:val="en-GB"/>
    </w:rPr>
  </w:style>
  <w:style w:type="paragraph" w:customStyle="1" w:styleId="RepH2">
    <w:name w:val="Rep_H2"/>
    <w:basedOn w:val="H23"/>
    <w:rsid w:val="00C358FE"/>
    <w:pPr>
      <w:keepNext w:val="0"/>
      <w:keepLines w:val="0"/>
      <w:ind w:left="1008" w:right="432" w:hanging="576"/>
    </w:pPr>
    <w:rPr>
      <w:rFonts w:eastAsia="Calibri"/>
      <w:spacing w:val="4"/>
      <w:szCs w:val="20"/>
      <w:lang w:val="en-US"/>
    </w:rPr>
  </w:style>
  <w:style w:type="paragraph" w:customStyle="1" w:styleId="RepH4">
    <w:name w:val="Rep_H4"/>
    <w:basedOn w:val="H4"/>
    <w:rsid w:val="00C358FE"/>
    <w:pPr>
      <w:tabs>
        <w:tab w:val="clear" w:pos="360"/>
        <w:tab w:val="left" w:pos="1008"/>
      </w:tabs>
      <w:ind w:left="1022" w:right="432" w:hanging="590"/>
    </w:pPr>
    <w:rPr>
      <w:rFonts w:eastAsia="Calibri"/>
      <w:szCs w:val="20"/>
      <w:lang w:val="en-GB"/>
    </w:rPr>
  </w:style>
  <w:style w:type="paragraph" w:customStyle="1" w:styleId="RepM">
    <w:name w:val="Rep_M"/>
    <w:basedOn w:val="SM"/>
    <w:qFormat/>
    <w:rsid w:val="00C358FE"/>
    <w:rPr>
      <w:rFonts w:eastAsia="Calibri"/>
      <w:noProof/>
      <w:w w:val="100"/>
      <w:szCs w:val="20"/>
      <w:lang w:val="en-GB"/>
    </w:rPr>
  </w:style>
  <w:style w:type="paragraph" w:customStyle="1" w:styleId="RepMainIntro">
    <w:name w:val="Rep_Main_Intro"/>
    <w:basedOn w:val="SingleTxt"/>
    <w:next w:val="H1"/>
    <w:qFormat/>
    <w:rsid w:val="00C358FE"/>
    <w:p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1008"/>
      </w:tabs>
      <w:spacing w:after="0" w:line="240" w:lineRule="auto"/>
      <w:ind w:left="432" w:right="432"/>
      <w:jc w:val="left"/>
      <w:outlineLvl w:val="0"/>
    </w:pPr>
    <w:rPr>
      <w:rFonts w:eastAsia="Calibri"/>
      <w:b/>
      <w:bCs/>
      <w:sz w:val="28"/>
      <w:szCs w:val="28"/>
      <w:lang w:val="en-GB"/>
    </w:rPr>
  </w:style>
  <w:style w:type="paragraph" w:customStyle="1" w:styleId="RepNumberedH1">
    <w:name w:val="Rep_Numbered_H1"/>
    <w:basedOn w:val="H1"/>
    <w:qFormat/>
    <w:rsid w:val="00C358FE"/>
    <w:pPr>
      <w:tabs>
        <w:tab w:val="left" w:pos="59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008" w:right="432" w:hanging="576"/>
    </w:pPr>
    <w:rPr>
      <w:rFonts w:eastAsia="Calibri"/>
      <w:bCs/>
      <w:szCs w:val="24"/>
      <w:lang w:val="en-GB"/>
    </w:rPr>
  </w:style>
  <w:style w:type="paragraph" w:customStyle="1" w:styleId="RepNumberedH2">
    <w:name w:val="Rep_Numbered_H2"/>
    <w:basedOn w:val="RepNumberedH1"/>
    <w:qFormat/>
    <w:rsid w:val="00C358FE"/>
    <w:rPr>
      <w:sz w:val="20"/>
      <w:szCs w:val="20"/>
    </w:rPr>
  </w:style>
  <w:style w:type="paragraph" w:customStyle="1" w:styleId="RepPartNumber">
    <w:name w:val="Rep_PartNumber"/>
    <w:basedOn w:val="Normal"/>
    <w:qFormat/>
    <w:rsid w:val="00C358FE"/>
    <w:pPr>
      <w:spacing w:before="2280" w:line="390" w:lineRule="exact"/>
      <w:ind w:right="1267"/>
      <w:outlineLvl w:val="0"/>
    </w:pPr>
    <w:rPr>
      <w:rFonts w:eastAsia="Calibri"/>
      <w:b/>
      <w:bCs/>
      <w:kern w:val="14"/>
      <w:sz w:val="40"/>
      <w:szCs w:val="40"/>
      <w:lang w:val="en-GB"/>
    </w:rPr>
  </w:style>
  <w:style w:type="paragraph" w:customStyle="1" w:styleId="RepPartTitle">
    <w:name w:val="Rep_PartTitle"/>
    <w:basedOn w:val="Normal"/>
    <w:qFormat/>
    <w:rsid w:val="00C358FE"/>
    <w:pPr>
      <w:spacing w:line="390" w:lineRule="exact"/>
      <w:ind w:left="1267" w:right="1267"/>
      <w:outlineLvl w:val="0"/>
    </w:pPr>
    <w:rPr>
      <w:rFonts w:eastAsia="Calibri"/>
      <w:b/>
      <w:bCs/>
      <w:kern w:val="14"/>
      <w:sz w:val="40"/>
      <w:szCs w:val="40"/>
      <w:lang w:val="en-GB"/>
    </w:rPr>
  </w:style>
  <w:style w:type="paragraph" w:customStyle="1" w:styleId="RepS">
    <w:name w:val="Rep_S"/>
    <w:basedOn w:val="SS"/>
    <w:qFormat/>
    <w:rsid w:val="00C358F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pPr>
    <w:rPr>
      <w:rFonts w:eastAsia="Calibri"/>
      <w:szCs w:val="20"/>
      <w:lang w:val="en-GB"/>
    </w:rPr>
  </w:style>
  <w:style w:type="paragraph" w:customStyle="1" w:styleId="RepTableNumber">
    <w:name w:val="Rep_Table_Number"/>
    <w:basedOn w:val="RepH2"/>
    <w:qFormat/>
    <w:rsid w:val="00C358FE"/>
    <w:pPr>
      <w:ind w:left="432" w:firstLine="0"/>
    </w:pPr>
    <w:rPr>
      <w:b w:val="0"/>
      <w:bCs/>
    </w:rPr>
  </w:style>
  <w:style w:type="paragraph" w:customStyle="1" w:styleId="RepTableTitle">
    <w:name w:val="Rep_Table_Title"/>
    <w:basedOn w:val="RepH2"/>
    <w:qFormat/>
    <w:rsid w:val="00C358FE"/>
    <w:pPr>
      <w:ind w:left="432" w:firstLine="0"/>
    </w:pPr>
  </w:style>
  <w:style w:type="paragraph" w:customStyle="1" w:styleId="RepTitleL">
    <w:name w:val="Rep_Title_L"/>
    <w:basedOn w:val="STitleL"/>
    <w:qFormat/>
    <w:rsid w:val="00C358FE"/>
    <w:rPr>
      <w:rFonts w:eastAsia="SimSun"/>
      <w:szCs w:val="20"/>
      <w:lang w:val="en-GB" w:eastAsia="zh-CN"/>
    </w:rPr>
  </w:style>
  <w:style w:type="paragraph" w:customStyle="1" w:styleId="RepTitleM">
    <w:name w:val="Rep_Title_M"/>
    <w:basedOn w:val="STitleM"/>
    <w:qFormat/>
    <w:rsid w:val="00C358FE"/>
    <w:rPr>
      <w:rFonts w:eastAsia="Calibri"/>
      <w:kern w:val="14"/>
      <w:szCs w:val="20"/>
      <w:lang w:val="en-GB"/>
    </w:rPr>
  </w:style>
  <w:style w:type="paragraph" w:customStyle="1" w:styleId="RepertoireFootnoteText">
    <w:name w:val="Repertoire Footnote Text"/>
    <w:basedOn w:val="Normal"/>
    <w:qFormat/>
    <w:rsid w:val="002A2EA6"/>
    <w:pPr>
      <w:tabs>
        <w:tab w:val="right" w:pos="950"/>
        <w:tab w:val="left" w:pos="1166"/>
        <w:tab w:val="left" w:pos="1440"/>
      </w:tabs>
      <w:spacing w:line="210" w:lineRule="exact"/>
      <w:ind w:left="1022" w:right="432" w:hanging="590"/>
    </w:pPr>
    <w:rPr>
      <w:rFonts w:asciiTheme="majorBidi" w:hAnsiTheme="majorBidi" w:cstheme="majorBidi"/>
    </w:rPr>
  </w:style>
  <w:style w:type="paragraph" w:customStyle="1" w:styleId="RepSingleText">
    <w:name w:val="Rep_Single_Text"/>
    <w:basedOn w:val="Normal"/>
    <w:qFormat/>
    <w:rsid w:val="00C8694A"/>
    <w:pPr>
      <w:tabs>
        <w:tab w:val="left" w:pos="1008"/>
      </w:tabs>
      <w:spacing w:after="120" w:line="240" w:lineRule="auto"/>
      <w:ind w:left="432" w:right="432"/>
      <w:jc w:val="both"/>
    </w:pPr>
  </w:style>
  <w:style w:type="paragraph" w:customStyle="1" w:styleId="HeadingT">
    <w:name w:val="Heading T"/>
    <w:basedOn w:val="SingleTxt"/>
    <w:qFormat/>
    <w:rsid w:val="001101D6"/>
    <w:pPr>
      <w:tabs>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right" w:pos="1022"/>
      </w:tabs>
      <w:spacing w:after="0" w:line="240" w:lineRule="exact"/>
      <w:ind w:hanging="1267"/>
    </w:pPr>
    <w:rPr>
      <w:sz w:val="14"/>
      <w:szCs w:val="14"/>
    </w:rPr>
  </w:style>
  <w:style w:type="paragraph" w:styleId="Title">
    <w:name w:val="Title"/>
    <w:basedOn w:val="Normal"/>
    <w:next w:val="Normal"/>
    <w:link w:val="TitleChar"/>
    <w:uiPriority w:val="10"/>
    <w:qFormat/>
    <w:rsid w:val="00E64B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BF5"/>
    <w:rPr>
      <w:rFonts w:asciiTheme="majorHAnsi" w:eastAsiaTheme="majorEastAsia" w:hAnsiTheme="majorHAnsi" w:cstheme="majorBidi"/>
      <w:spacing w:val="-10"/>
      <w:w w:val="103"/>
      <w:kern w:val="28"/>
      <w:sz w:val="56"/>
      <w:szCs w:val="56"/>
      <w:lang w:val="ru-RU" w:eastAsia="en-US"/>
    </w:rPr>
  </w:style>
  <w:style w:type="paragraph" w:styleId="Subtitle">
    <w:name w:val="Subtitle"/>
    <w:basedOn w:val="Normal"/>
    <w:next w:val="Normal"/>
    <w:link w:val="SubtitleChar"/>
    <w:uiPriority w:val="11"/>
    <w:qFormat/>
    <w:rsid w:val="00E64BF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BF5"/>
    <w:rPr>
      <w:rFonts w:eastAsiaTheme="majorEastAsia" w:cstheme="majorBidi"/>
      <w:color w:val="595959" w:themeColor="text1" w:themeTint="A6"/>
      <w:spacing w:val="15"/>
      <w:w w:val="103"/>
      <w:sz w:val="28"/>
      <w:szCs w:val="28"/>
      <w:lang w:val="ru-RU" w:eastAsia="en-US"/>
    </w:rPr>
  </w:style>
  <w:style w:type="paragraph" w:styleId="Quote">
    <w:name w:val="Quote"/>
    <w:basedOn w:val="Normal"/>
    <w:next w:val="Normal"/>
    <w:link w:val="QuoteChar"/>
    <w:uiPriority w:val="29"/>
    <w:qFormat/>
    <w:rsid w:val="00E64B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4BF5"/>
    <w:rPr>
      <w:rFonts w:ascii="Times New Roman" w:eastAsiaTheme="minorHAnsi" w:hAnsi="Times New Roman" w:cs="Times New Roman"/>
      <w:i/>
      <w:iCs/>
      <w:color w:val="404040" w:themeColor="text1" w:themeTint="BF"/>
      <w:spacing w:val="4"/>
      <w:w w:val="103"/>
      <w:sz w:val="20"/>
      <w:lang w:val="ru-RU" w:eastAsia="en-US"/>
    </w:rPr>
  </w:style>
  <w:style w:type="paragraph" w:styleId="ListParagraph">
    <w:name w:val="List Paragraph"/>
    <w:aliases w:val="Body Text Bulleted,bulleted Jens,List Paragraph (numbered (a)),Абзац списка1,Lapis Bulleted List,Bullets,List Paragraph1,List 100s,WB Para,References,Bullet List,FooterText,Colorful List Accent 1,numbered,Paragraphe de liste1,列出段落"/>
    <w:basedOn w:val="Normal"/>
    <w:link w:val="ListParagraphChar"/>
    <w:uiPriority w:val="34"/>
    <w:qFormat/>
    <w:rsid w:val="00E64BF5"/>
    <w:pPr>
      <w:ind w:left="720"/>
      <w:contextualSpacing/>
    </w:pPr>
  </w:style>
  <w:style w:type="character" w:styleId="IntenseEmphasis">
    <w:name w:val="Intense Emphasis"/>
    <w:basedOn w:val="DefaultParagraphFont"/>
    <w:uiPriority w:val="21"/>
    <w:qFormat/>
    <w:rsid w:val="00E64BF5"/>
    <w:rPr>
      <w:i/>
      <w:iCs/>
      <w:color w:val="2F5496" w:themeColor="accent1" w:themeShade="BF"/>
    </w:rPr>
  </w:style>
  <w:style w:type="paragraph" w:styleId="IntenseQuote">
    <w:name w:val="Intense Quote"/>
    <w:basedOn w:val="Normal"/>
    <w:next w:val="Normal"/>
    <w:link w:val="IntenseQuoteChar"/>
    <w:uiPriority w:val="30"/>
    <w:qFormat/>
    <w:rsid w:val="00E64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4BF5"/>
    <w:rPr>
      <w:rFonts w:ascii="Times New Roman" w:eastAsiaTheme="minorHAnsi" w:hAnsi="Times New Roman" w:cs="Times New Roman"/>
      <w:i/>
      <w:iCs/>
      <w:color w:val="2F5496" w:themeColor="accent1" w:themeShade="BF"/>
      <w:spacing w:val="4"/>
      <w:w w:val="103"/>
      <w:sz w:val="20"/>
      <w:lang w:val="ru-RU" w:eastAsia="en-US"/>
    </w:rPr>
  </w:style>
  <w:style w:type="character" w:styleId="IntenseReference">
    <w:name w:val="Intense Reference"/>
    <w:basedOn w:val="DefaultParagraphFont"/>
    <w:uiPriority w:val="32"/>
    <w:qFormat/>
    <w:rsid w:val="00E64BF5"/>
    <w:rPr>
      <w:b/>
      <w:bCs/>
      <w:smallCaps/>
      <w:color w:val="2F5496" w:themeColor="accent1" w:themeShade="BF"/>
      <w:spacing w:val="5"/>
    </w:rPr>
  </w:style>
  <w:style w:type="paragraph" w:styleId="CommentText">
    <w:name w:val="annotation text"/>
    <w:basedOn w:val="Normal"/>
    <w:link w:val="CommentTextChar"/>
    <w:uiPriority w:val="99"/>
    <w:unhideWhenUsed/>
    <w:rsid w:val="00221BD9"/>
    <w:pPr>
      <w:spacing w:line="240" w:lineRule="auto"/>
    </w:pPr>
    <w:rPr>
      <w:szCs w:val="20"/>
    </w:rPr>
  </w:style>
  <w:style w:type="character" w:customStyle="1" w:styleId="CommentTextChar">
    <w:name w:val="Comment Text Char"/>
    <w:basedOn w:val="DefaultParagraphFont"/>
    <w:link w:val="CommentText"/>
    <w:uiPriority w:val="99"/>
    <w:rsid w:val="00221BD9"/>
    <w:rPr>
      <w:rFonts w:ascii="Times New Roman" w:eastAsiaTheme="minorHAnsi" w:hAnsi="Times New Roman" w:cs="Times New Roman"/>
      <w:spacing w:val="4"/>
      <w:w w:val="103"/>
      <w:sz w:val="20"/>
      <w:szCs w:val="20"/>
      <w:lang w:val="ru-RU" w:eastAsia="en-US"/>
    </w:rPr>
  </w:style>
  <w:style w:type="paragraph" w:styleId="CommentSubject">
    <w:name w:val="annotation subject"/>
    <w:basedOn w:val="CommentText"/>
    <w:next w:val="CommentText"/>
    <w:link w:val="CommentSubjectChar"/>
    <w:uiPriority w:val="99"/>
    <w:semiHidden/>
    <w:unhideWhenUsed/>
    <w:rsid w:val="00221BD9"/>
    <w:rPr>
      <w:b/>
      <w:bCs/>
    </w:rPr>
  </w:style>
  <w:style w:type="character" w:customStyle="1" w:styleId="CommentSubjectChar">
    <w:name w:val="Comment Subject Char"/>
    <w:basedOn w:val="CommentTextChar"/>
    <w:link w:val="CommentSubject"/>
    <w:uiPriority w:val="99"/>
    <w:semiHidden/>
    <w:rsid w:val="00221BD9"/>
    <w:rPr>
      <w:rFonts w:ascii="Times New Roman" w:eastAsiaTheme="minorHAnsi" w:hAnsi="Times New Roman" w:cs="Times New Roman"/>
      <w:b/>
      <w:bCs/>
      <w:spacing w:val="4"/>
      <w:w w:val="103"/>
      <w:sz w:val="20"/>
      <w:szCs w:val="20"/>
      <w:lang w:val="ru-RU" w:eastAsia="en-US"/>
    </w:rPr>
  </w:style>
  <w:style w:type="paragraph" w:customStyle="1" w:styleId="moje1">
    <w:name w:val="moje1"/>
    <w:basedOn w:val="Normal"/>
    <w:rsid w:val="00055BFC"/>
    <w:pPr>
      <w:suppressAutoHyphens w:val="0"/>
      <w:spacing w:after="120"/>
      <w:ind w:left="1298" w:right="1264"/>
      <w:jc w:val="both"/>
    </w:pPr>
    <w:rPr>
      <w:rFonts w:eastAsia="Times New Roman"/>
      <w:kern w:val="0"/>
      <w:szCs w:val="20"/>
      <w14:ligatures w14:val="none"/>
    </w:rPr>
  </w:style>
  <w:style w:type="paragraph" w:customStyle="1" w:styleId="mojecisl">
    <w:name w:val="moje cisl"/>
    <w:basedOn w:val="Normal"/>
    <w:link w:val="mojecislChar"/>
    <w:rsid w:val="00055BFC"/>
    <w:pPr>
      <w:tabs>
        <w:tab w:val="left" w:pos="1701"/>
      </w:tabs>
      <w:suppressAutoHyphens w:val="0"/>
      <w:spacing w:after="120"/>
      <w:ind w:right="1264"/>
      <w:jc w:val="both"/>
    </w:pPr>
    <w:rPr>
      <w:rFonts w:eastAsia="Times New Roman"/>
      <w:kern w:val="0"/>
      <w:szCs w:val="24"/>
      <w14:ligatures w14:val="none"/>
    </w:rPr>
  </w:style>
  <w:style w:type="paragraph" w:customStyle="1" w:styleId="Normaltext">
    <w:name w:val="Normal text"/>
    <w:basedOn w:val="mojecisl"/>
    <w:link w:val="NormaltextChar"/>
    <w:rsid w:val="00055BFC"/>
    <w:pPr>
      <w:numPr>
        <w:numId w:val="12"/>
      </w:numPr>
      <w:ind w:left="720"/>
    </w:pPr>
  </w:style>
  <w:style w:type="character" w:customStyle="1" w:styleId="mojecislChar">
    <w:name w:val="moje cisl Char"/>
    <w:basedOn w:val="DefaultParagraphFont"/>
    <w:link w:val="mojecisl"/>
    <w:rsid w:val="00055BFC"/>
    <w:rPr>
      <w:rFonts w:ascii="Times New Roman" w:eastAsia="Times New Roman" w:hAnsi="Times New Roman" w:cs="Times New Roman"/>
      <w:spacing w:val="4"/>
      <w:w w:val="103"/>
      <w:kern w:val="0"/>
      <w:sz w:val="20"/>
      <w:szCs w:val="24"/>
      <w:lang w:val="ru-RU" w:eastAsia="en-US"/>
      <w14:ligatures w14:val="none"/>
    </w:rPr>
  </w:style>
  <w:style w:type="character" w:customStyle="1" w:styleId="NormaltextChar">
    <w:name w:val="Normal text Char"/>
    <w:basedOn w:val="mojecislChar"/>
    <w:link w:val="Normaltext"/>
    <w:rsid w:val="00055BFC"/>
    <w:rPr>
      <w:rFonts w:ascii="Times New Roman" w:eastAsia="Times New Roman" w:hAnsi="Times New Roman" w:cs="Times New Roman"/>
      <w:spacing w:val="4"/>
      <w:w w:val="103"/>
      <w:kern w:val="0"/>
      <w:sz w:val="20"/>
      <w:szCs w:val="24"/>
      <w:lang w:val="ru-RU" w:eastAsia="en-US"/>
      <w14:ligatures w14:val="none"/>
    </w:rPr>
  </w:style>
  <w:style w:type="paragraph" w:customStyle="1" w:styleId="HeadI">
    <w:name w:val="Head. I"/>
    <w:basedOn w:val="Heading1"/>
    <w:link w:val="HeadIChar"/>
    <w:qFormat/>
    <w:rsid w:val="00055BFC"/>
    <w:pPr>
      <w:keepLines/>
      <w:numPr>
        <w:numId w:val="19"/>
      </w:numPr>
      <w:spacing w:after="240" w:line="240" w:lineRule="auto"/>
      <w:ind w:left="720" w:right="40" w:hanging="540"/>
      <w:jc w:val="both"/>
    </w:pPr>
    <w:rPr>
      <w:rFonts w:ascii="Times New Roman" w:eastAsia="Calibri" w:hAnsi="Times New Roman"/>
      <w:bCs w:val="0"/>
      <w:spacing w:val="-2"/>
      <w:kern w:val="14"/>
      <w:sz w:val="28"/>
      <w14:ligatures w14:val="none"/>
    </w:rPr>
  </w:style>
  <w:style w:type="paragraph" w:customStyle="1" w:styleId="Default">
    <w:name w:val="Default"/>
    <w:rsid w:val="00055BFC"/>
    <w:pPr>
      <w:autoSpaceDE w:val="0"/>
      <w:autoSpaceDN w:val="0"/>
      <w:adjustRightInd w:val="0"/>
      <w:spacing w:after="0" w:line="240" w:lineRule="auto"/>
    </w:pPr>
    <w:rPr>
      <w:rFonts w:ascii="Times New Roman" w:eastAsia="Calibri" w:hAnsi="Times New Roman" w:cs="Times New Roman"/>
      <w:color w:val="000000"/>
      <w:kern w:val="0"/>
      <w:sz w:val="24"/>
      <w:szCs w:val="24"/>
      <w:lang w:val="ru-RU" w:eastAsia="en-US"/>
      <w14:ligatures w14:val="none"/>
    </w:rPr>
  </w:style>
  <w:style w:type="character" w:customStyle="1" w:styleId="UnresolvedMention1">
    <w:name w:val="Unresolved Mention1"/>
    <w:basedOn w:val="DefaultParagraphFont"/>
    <w:uiPriority w:val="99"/>
    <w:semiHidden/>
    <w:unhideWhenUsed/>
    <w:rsid w:val="00055BFC"/>
    <w:rPr>
      <w:color w:val="605E5C"/>
      <w:shd w:val="clear" w:color="auto" w:fill="E1DFDD"/>
    </w:rPr>
  </w:style>
  <w:style w:type="character" w:customStyle="1" w:styleId="ListParagraphChar">
    <w:name w:val="List Paragraph Char"/>
    <w:aliases w:val="Body Text Bulleted Char,bulleted Jens Char,List Paragraph (numbered (a)) Char,Абзац списка1 Char,Lapis Bulleted List Char,Bullets Char,List Paragraph1 Char,List 100s Char,WB Para Char,References Char,Bullet List Char,FooterText Char"/>
    <w:basedOn w:val="DefaultParagraphFont"/>
    <w:link w:val="ListParagraph"/>
    <w:uiPriority w:val="34"/>
    <w:qFormat/>
    <w:locked/>
    <w:rsid w:val="00055BFC"/>
    <w:rPr>
      <w:rFonts w:ascii="Times New Roman" w:eastAsiaTheme="minorHAnsi" w:hAnsi="Times New Roman" w:cs="Times New Roman"/>
      <w:spacing w:val="4"/>
      <w:w w:val="103"/>
      <w:sz w:val="20"/>
      <w:lang w:val="ru-RU" w:eastAsia="en-US"/>
    </w:rPr>
  </w:style>
  <w:style w:type="paragraph" w:customStyle="1" w:styleId="BODYTEXTITALICORBOLDINCHARACTERSTYLEREGULARTEXT">
    <w:name w:val="BODY TEXT (ITALIC OR BOLD IN CHARACTER STYLE) (REGULAR TEXT)"/>
    <w:basedOn w:val="Normal"/>
    <w:uiPriority w:val="99"/>
    <w:rsid w:val="00055BFC"/>
    <w:pPr>
      <w:widowControl w:val="0"/>
      <w:tabs>
        <w:tab w:val="left" w:pos="120"/>
      </w:tabs>
      <w:suppressAutoHyphens w:val="0"/>
      <w:autoSpaceDE w:val="0"/>
      <w:autoSpaceDN w:val="0"/>
      <w:adjustRightInd w:val="0"/>
      <w:spacing w:after="130" w:line="262" w:lineRule="atLeast"/>
      <w:jc w:val="both"/>
    </w:pPr>
    <w:rPr>
      <w:rFonts w:eastAsia="Calibri" w:cs="TheSansLight-Plain"/>
      <w:color w:val="000000"/>
      <w:spacing w:val="0"/>
      <w:w w:val="100"/>
      <w:kern w:val="0"/>
      <w:sz w:val="19"/>
      <w:szCs w:val="19"/>
      <w14:ligatures w14:val="none"/>
    </w:rPr>
  </w:style>
  <w:style w:type="paragraph" w:customStyle="1" w:styleId="NormalPara">
    <w:name w:val="Normal Para"/>
    <w:basedOn w:val="Normal"/>
    <w:uiPriority w:val="99"/>
    <w:rsid w:val="00055BFC"/>
    <w:pPr>
      <w:suppressAutoHyphens w:val="0"/>
      <w:spacing w:after="120" w:line="240" w:lineRule="auto"/>
      <w:ind w:left="360" w:hanging="360"/>
      <w:jc w:val="both"/>
    </w:pPr>
    <w:rPr>
      <w:rFonts w:ascii="Arial" w:eastAsia="Calibri" w:hAnsi="Arial" w:cs="Arial"/>
      <w:spacing w:val="0"/>
      <w:w w:val="100"/>
      <w:kern w:val="0"/>
      <w:sz w:val="22"/>
      <w14:ligatures w14:val="none"/>
    </w:rPr>
  </w:style>
  <w:style w:type="paragraph" w:styleId="Revision">
    <w:name w:val="Revision"/>
    <w:hidden/>
    <w:uiPriority w:val="99"/>
    <w:semiHidden/>
    <w:rsid w:val="00055BFC"/>
    <w:pPr>
      <w:spacing w:after="0" w:line="240" w:lineRule="auto"/>
    </w:pPr>
    <w:rPr>
      <w:rFonts w:ascii="Times New Roman" w:eastAsia="Calibri" w:hAnsi="Times New Roman" w:cs="Calibri"/>
      <w:kern w:val="0"/>
      <w:lang w:val="ru-RU" w:eastAsia="en-US"/>
      <w14:ligatures w14:val="none"/>
    </w:rPr>
  </w:style>
  <w:style w:type="paragraph" w:customStyle="1" w:styleId="HeadA">
    <w:name w:val="Head. A"/>
    <w:basedOn w:val="Heading1"/>
    <w:link w:val="HeadAChar"/>
    <w:qFormat/>
    <w:rsid w:val="00055BFC"/>
    <w:pPr>
      <w:keepLines/>
      <w:numPr>
        <w:numId w:val="17"/>
      </w:numPr>
      <w:spacing w:before="180" w:after="120" w:line="240" w:lineRule="auto"/>
      <w:ind w:left="734" w:right="43" w:hanging="590"/>
    </w:pPr>
    <w:rPr>
      <w:rFonts w:ascii="Times New Roman" w:eastAsia="Calibri" w:hAnsi="Times New Roman"/>
      <w:bCs w:val="0"/>
      <w:spacing w:val="-2"/>
      <w:kern w:val="14"/>
      <w:sz w:val="24"/>
      <w:szCs w:val="24"/>
      <w14:ligatures w14:val="none"/>
    </w:rPr>
  </w:style>
  <w:style w:type="paragraph" w:customStyle="1" w:styleId="MediumGrid1-Accent21">
    <w:name w:val="Medium Grid 1 - Accent 21"/>
    <w:basedOn w:val="Normal"/>
    <w:uiPriority w:val="34"/>
    <w:rsid w:val="00055BFC"/>
    <w:pPr>
      <w:suppressAutoHyphens w:val="0"/>
      <w:spacing w:line="240" w:lineRule="auto"/>
      <w:ind w:left="720"/>
      <w:contextualSpacing/>
    </w:pPr>
    <w:rPr>
      <w:rFonts w:eastAsia="Times New Roman"/>
      <w:spacing w:val="0"/>
      <w:w w:val="100"/>
      <w:kern w:val="0"/>
      <w:sz w:val="24"/>
      <w:szCs w:val="24"/>
      <w14:ligatures w14:val="none"/>
    </w:rPr>
  </w:style>
  <w:style w:type="paragraph" w:customStyle="1" w:styleId="Num1para">
    <w:name w:val="Num 1 para"/>
    <w:basedOn w:val="Normal"/>
    <w:link w:val="Num1paraChar"/>
    <w:rsid w:val="00055BFC"/>
    <w:pPr>
      <w:numPr>
        <w:numId w:val="13"/>
      </w:numPr>
      <w:tabs>
        <w:tab w:val="left" w:pos="1418"/>
      </w:tabs>
      <w:suppressAutoHyphens w:val="0"/>
      <w:spacing w:after="80" w:line="240" w:lineRule="auto"/>
      <w:ind w:right="147"/>
      <w:jc w:val="both"/>
    </w:pPr>
    <w:rPr>
      <w:rFonts w:eastAsia="Times New Roman"/>
      <w:spacing w:val="0"/>
      <w:w w:val="100"/>
      <w:kern w:val="0"/>
      <w:szCs w:val="20"/>
      <w14:ligatures w14:val="none"/>
    </w:rPr>
  </w:style>
  <w:style w:type="character" w:customStyle="1" w:styleId="Num1paraChar">
    <w:name w:val="Num 1 para Char"/>
    <w:basedOn w:val="DefaultParagraphFont"/>
    <w:link w:val="Num1para"/>
    <w:rsid w:val="00055BFC"/>
    <w:rPr>
      <w:rFonts w:ascii="Times New Roman" w:eastAsia="Times New Roman" w:hAnsi="Times New Roman" w:cs="Times New Roman"/>
      <w:kern w:val="0"/>
      <w:sz w:val="20"/>
      <w:szCs w:val="20"/>
      <w:lang w:val="ru-RU" w:eastAsia="en-US"/>
      <w14:ligatures w14:val="none"/>
    </w:rPr>
  </w:style>
  <w:style w:type="paragraph" w:customStyle="1" w:styleId="Numapara">
    <w:name w:val="Num (a) para"/>
    <w:basedOn w:val="ListParagraph"/>
    <w:rsid w:val="00055BFC"/>
    <w:pPr>
      <w:numPr>
        <w:ilvl w:val="1"/>
        <w:numId w:val="14"/>
      </w:numPr>
      <w:tabs>
        <w:tab w:val="left" w:pos="1418"/>
      </w:tabs>
      <w:suppressAutoHyphens w:val="0"/>
      <w:spacing w:before="120" w:after="120" w:line="240" w:lineRule="auto"/>
      <w:ind w:right="533"/>
      <w:contextualSpacing w:val="0"/>
      <w:jc w:val="both"/>
    </w:pPr>
    <w:rPr>
      <w:rFonts w:eastAsia="Times New Roman"/>
      <w:spacing w:val="0"/>
      <w:w w:val="100"/>
      <w:kern w:val="0"/>
      <w:szCs w:val="24"/>
      <w14:ligatures w14:val="none"/>
    </w:rPr>
  </w:style>
  <w:style w:type="character" w:customStyle="1" w:styleId="CommentTextChar1">
    <w:name w:val="Comment Text Char1"/>
    <w:uiPriority w:val="99"/>
    <w:rsid w:val="00055BFC"/>
    <w:rPr>
      <w:rFonts w:ascii="Times New Roman" w:eastAsia="Times New Roman" w:hAnsi="Times New Roman" w:cs="Times New Roman"/>
      <w:snapToGrid w:val="0"/>
      <w:sz w:val="24"/>
      <w:szCs w:val="20"/>
      <w:lang w:val="ru-RU" w:eastAsia="x-none"/>
    </w:rPr>
  </w:style>
  <w:style w:type="paragraph" w:customStyle="1" w:styleId="EBHeading2">
    <w:name w:val="EB_Heading2"/>
    <w:basedOn w:val="ListParagraph"/>
    <w:next w:val="Normal"/>
    <w:link w:val="EBHeading2Char"/>
    <w:rsid w:val="00055BFC"/>
    <w:pPr>
      <w:keepNext/>
      <w:keepLines/>
      <w:suppressAutoHyphens w:val="0"/>
      <w:spacing w:before="120" w:after="120" w:line="240" w:lineRule="auto"/>
      <w:ind w:left="0" w:right="146"/>
      <w:contextualSpacing w:val="0"/>
      <w:outlineLvl w:val="1"/>
    </w:pPr>
    <w:rPr>
      <w:rFonts w:eastAsia="Times New Roman"/>
      <w:b/>
      <w:spacing w:val="0"/>
      <w:w w:val="100"/>
      <w:kern w:val="0"/>
      <w:sz w:val="24"/>
      <w:szCs w:val="24"/>
      <w:lang w:eastAsia="x-none"/>
      <w14:ligatures w14:val="none"/>
    </w:rPr>
  </w:style>
  <w:style w:type="character" w:customStyle="1" w:styleId="EBHeading2Char">
    <w:name w:val="EB_Heading2 Char"/>
    <w:link w:val="EBHeading2"/>
    <w:rsid w:val="00055BFC"/>
    <w:rPr>
      <w:rFonts w:ascii="Times New Roman" w:eastAsia="Times New Roman" w:hAnsi="Times New Roman" w:cs="Times New Roman"/>
      <w:b/>
      <w:kern w:val="0"/>
      <w:sz w:val="24"/>
      <w:szCs w:val="24"/>
      <w:lang w:val="ru-RU" w:eastAsia="x-none"/>
      <w14:ligatures w14:val="none"/>
    </w:rPr>
  </w:style>
  <w:style w:type="character" w:customStyle="1" w:styleId="NoSpacingChar">
    <w:name w:val="No Spacing Char"/>
    <w:basedOn w:val="DefaultParagraphFont"/>
    <w:link w:val="NoSpacing"/>
    <w:uiPriority w:val="1"/>
    <w:rsid w:val="00055BFC"/>
    <w:rPr>
      <w:rFonts w:ascii="Times New Roman" w:eastAsiaTheme="minorHAnsi" w:hAnsi="Times New Roman" w:cs="Times New Roman"/>
      <w:spacing w:val="4"/>
      <w:w w:val="103"/>
      <w:sz w:val="20"/>
      <w:lang w:val="ru-RU" w:eastAsia="en-US"/>
    </w:rPr>
  </w:style>
  <w:style w:type="table" w:customStyle="1" w:styleId="TableGrid1">
    <w:name w:val="Table Grid1"/>
    <w:basedOn w:val="TableNormal"/>
    <w:next w:val="TableGrid"/>
    <w:rsid w:val="00055BFC"/>
    <w:pPr>
      <w:suppressAutoHyphens/>
      <w:spacing w:after="0" w:line="240" w:lineRule="exact"/>
    </w:pPr>
    <w:rPr>
      <w:rFonts w:ascii="Times New Roman" w:eastAsia="Times New Roman" w:hAnsi="Times New Roman" w:cs="Times New Roman"/>
      <w:kern w:val="0"/>
      <w:sz w:val="20"/>
      <w:szCs w:val="20"/>
      <w:lang w:val="ru-RU"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55BFC"/>
    <w:pPr>
      <w:suppressAutoHyphens/>
      <w:spacing w:after="0" w:line="240" w:lineRule="exact"/>
    </w:pPr>
    <w:rPr>
      <w:rFonts w:ascii="Times New Roman" w:eastAsia="Times New Roman" w:hAnsi="Times New Roman" w:cs="Times New Roman"/>
      <w:kern w:val="0"/>
      <w:sz w:val="20"/>
      <w:szCs w:val="20"/>
      <w:lang w:val="ru-RU"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55BFC"/>
    <w:pPr>
      <w:suppressAutoHyphens/>
      <w:spacing w:after="0" w:line="240" w:lineRule="exact"/>
    </w:pPr>
    <w:rPr>
      <w:rFonts w:ascii="Times New Roman" w:eastAsia="Times New Roman" w:hAnsi="Times New Roman" w:cs="Times New Roman"/>
      <w:kern w:val="0"/>
      <w:sz w:val="20"/>
      <w:szCs w:val="20"/>
      <w:lang w:val="ru-RU"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55BFC"/>
    <w:pPr>
      <w:suppressAutoHyphens/>
      <w:spacing w:after="0" w:line="240" w:lineRule="exact"/>
    </w:pPr>
    <w:rPr>
      <w:rFonts w:ascii="Times New Roman" w:eastAsia="Times New Roman" w:hAnsi="Times New Roman" w:cs="Times New Roman"/>
      <w:kern w:val="0"/>
      <w:sz w:val="20"/>
      <w:szCs w:val="20"/>
      <w:lang w:val="ru-RU"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55BFC"/>
    <w:rPr>
      <w:color w:val="605E5C"/>
      <w:shd w:val="clear" w:color="auto" w:fill="E1DFDD"/>
    </w:rPr>
  </w:style>
  <w:style w:type="paragraph" w:styleId="TOC1">
    <w:name w:val="toc 1"/>
    <w:basedOn w:val="Normal"/>
    <w:next w:val="Normal"/>
    <w:autoRedefine/>
    <w:uiPriority w:val="39"/>
    <w:unhideWhenUsed/>
    <w:rsid w:val="00055BFC"/>
    <w:pPr>
      <w:tabs>
        <w:tab w:val="left" w:pos="440"/>
        <w:tab w:val="right" w:leader="dot" w:pos="9840"/>
      </w:tabs>
      <w:suppressAutoHyphens w:val="0"/>
      <w:spacing w:after="100" w:line="259" w:lineRule="auto"/>
    </w:pPr>
    <w:rPr>
      <w:rFonts w:eastAsia="Calibri" w:cs="Calibri"/>
      <w:spacing w:val="0"/>
      <w:w w:val="100"/>
      <w:kern w:val="0"/>
      <w:sz w:val="22"/>
      <w14:ligatures w14:val="none"/>
    </w:rPr>
  </w:style>
  <w:style w:type="paragraph" w:styleId="TOC2">
    <w:name w:val="toc 2"/>
    <w:basedOn w:val="Normal"/>
    <w:next w:val="Normal"/>
    <w:autoRedefine/>
    <w:uiPriority w:val="39"/>
    <w:unhideWhenUsed/>
    <w:rsid w:val="00055BFC"/>
    <w:pPr>
      <w:tabs>
        <w:tab w:val="right" w:pos="9840"/>
      </w:tabs>
      <w:suppressAutoHyphens w:val="0"/>
      <w:spacing w:after="100" w:line="259" w:lineRule="auto"/>
      <w:ind w:left="220"/>
    </w:pPr>
    <w:rPr>
      <w:rFonts w:eastAsia="Calibri" w:cs="Calibri"/>
      <w:spacing w:val="0"/>
      <w:w w:val="100"/>
      <w:kern w:val="0"/>
      <w:sz w:val="22"/>
      <w14:ligatures w14:val="none"/>
    </w:rPr>
  </w:style>
  <w:style w:type="character" w:customStyle="1" w:styleId="UnresolvedMention3">
    <w:name w:val="Unresolved Mention3"/>
    <w:basedOn w:val="DefaultParagraphFont"/>
    <w:uiPriority w:val="99"/>
    <w:semiHidden/>
    <w:unhideWhenUsed/>
    <w:rsid w:val="00055BFC"/>
    <w:rPr>
      <w:color w:val="605E5C"/>
      <w:shd w:val="clear" w:color="auto" w:fill="E1DFDD"/>
    </w:rPr>
  </w:style>
  <w:style w:type="character" w:customStyle="1" w:styleId="UnresolvedMention4">
    <w:name w:val="Unresolved Mention4"/>
    <w:basedOn w:val="DefaultParagraphFont"/>
    <w:uiPriority w:val="99"/>
    <w:semiHidden/>
    <w:unhideWhenUsed/>
    <w:rsid w:val="00055BFC"/>
    <w:rPr>
      <w:color w:val="605E5C"/>
      <w:shd w:val="clear" w:color="auto" w:fill="E1DFDD"/>
    </w:rPr>
  </w:style>
  <w:style w:type="character" w:customStyle="1" w:styleId="HeadIChar">
    <w:name w:val="Head. I Char"/>
    <w:basedOn w:val="Heading1Char"/>
    <w:link w:val="HeadI"/>
    <w:rsid w:val="00055BFC"/>
    <w:rPr>
      <w:rFonts w:ascii="Times New Roman" w:eastAsia="Calibri" w:hAnsi="Times New Roman" w:cs="Times New Roman"/>
      <w:b/>
      <w:bCs w:val="0"/>
      <w:spacing w:val="-2"/>
      <w:w w:val="103"/>
      <w:kern w:val="14"/>
      <w:sz w:val="28"/>
      <w:szCs w:val="28"/>
      <w:lang w:val="ru-RU" w:eastAsia="en-US"/>
      <w14:ligatures w14:val="none"/>
    </w:rPr>
  </w:style>
  <w:style w:type="paragraph" w:customStyle="1" w:styleId="Para1">
    <w:name w:val="Para. 1"/>
    <w:basedOn w:val="Normal"/>
    <w:link w:val="Para1Char"/>
    <w:qFormat/>
    <w:rsid w:val="00055BFC"/>
    <w:pPr>
      <w:numPr>
        <w:numId w:val="18"/>
      </w:numPr>
      <w:pBdr>
        <w:top w:val="nil"/>
        <w:left w:val="nil"/>
        <w:bottom w:val="nil"/>
        <w:right w:val="nil"/>
        <w:between w:val="nil"/>
      </w:pBdr>
      <w:tabs>
        <w:tab w:val="left" w:pos="1260"/>
      </w:tabs>
      <w:suppressAutoHyphens w:val="0"/>
      <w:spacing w:after="80" w:line="240" w:lineRule="auto"/>
      <w:ind w:right="40" w:hanging="11"/>
      <w:jc w:val="both"/>
    </w:pPr>
    <w:rPr>
      <w:rFonts w:eastAsia="Times New Roman"/>
      <w:color w:val="000000"/>
      <w:spacing w:val="0"/>
      <w:w w:val="100"/>
      <w:kern w:val="0"/>
      <w:szCs w:val="20"/>
      <w14:ligatures w14:val="none"/>
    </w:rPr>
  </w:style>
  <w:style w:type="character" w:customStyle="1" w:styleId="HeadAChar">
    <w:name w:val="Head. A Char"/>
    <w:basedOn w:val="Heading1Char"/>
    <w:link w:val="HeadA"/>
    <w:rsid w:val="00055BFC"/>
    <w:rPr>
      <w:rFonts w:ascii="Times New Roman" w:eastAsia="Calibri" w:hAnsi="Times New Roman" w:cs="Times New Roman"/>
      <w:b/>
      <w:bCs w:val="0"/>
      <w:spacing w:val="-2"/>
      <w:w w:val="103"/>
      <w:kern w:val="14"/>
      <w:sz w:val="24"/>
      <w:szCs w:val="24"/>
      <w:lang w:val="ru-RU" w:eastAsia="en-US"/>
      <w14:ligatures w14:val="none"/>
    </w:rPr>
  </w:style>
  <w:style w:type="paragraph" w:customStyle="1" w:styleId="Paraa">
    <w:name w:val="Para. (a)"/>
    <w:basedOn w:val="Normal"/>
    <w:link w:val="ParaaChar"/>
    <w:qFormat/>
    <w:rsid w:val="00055BFC"/>
    <w:pPr>
      <w:numPr>
        <w:ilvl w:val="1"/>
        <w:numId w:val="15"/>
      </w:numPr>
      <w:pBdr>
        <w:top w:val="nil"/>
        <w:left w:val="nil"/>
        <w:bottom w:val="nil"/>
        <w:right w:val="nil"/>
        <w:between w:val="nil"/>
      </w:pBdr>
      <w:tabs>
        <w:tab w:val="left" w:pos="1260"/>
      </w:tabs>
      <w:suppressAutoHyphens w:val="0"/>
      <w:spacing w:after="80" w:line="240" w:lineRule="auto"/>
      <w:ind w:left="720" w:right="43" w:hanging="14"/>
      <w:jc w:val="both"/>
    </w:pPr>
    <w:rPr>
      <w:rFonts w:eastAsia="Times New Roman"/>
      <w:color w:val="000000"/>
      <w:spacing w:val="0"/>
      <w:w w:val="100"/>
      <w:kern w:val="0"/>
      <w:szCs w:val="20"/>
      <w14:ligatures w14:val="none"/>
    </w:rPr>
  </w:style>
  <w:style w:type="character" w:customStyle="1" w:styleId="Para1Char">
    <w:name w:val="Para. 1 Char"/>
    <w:basedOn w:val="DefaultParagraphFont"/>
    <w:link w:val="Para1"/>
    <w:rsid w:val="00055BFC"/>
    <w:rPr>
      <w:rFonts w:ascii="Times New Roman" w:eastAsia="Times New Roman" w:hAnsi="Times New Roman" w:cs="Times New Roman"/>
      <w:color w:val="000000"/>
      <w:kern w:val="0"/>
      <w:sz w:val="20"/>
      <w:szCs w:val="20"/>
      <w:lang w:val="ru-RU" w:eastAsia="en-US"/>
      <w14:ligatures w14:val="none"/>
    </w:rPr>
  </w:style>
  <w:style w:type="paragraph" w:customStyle="1" w:styleId="Parai">
    <w:name w:val="Para. i"/>
    <w:basedOn w:val="Normal"/>
    <w:link w:val="ParaiChar"/>
    <w:qFormat/>
    <w:rsid w:val="00055BFC"/>
    <w:pPr>
      <w:pBdr>
        <w:top w:val="nil"/>
        <w:left w:val="nil"/>
        <w:bottom w:val="nil"/>
        <w:right w:val="nil"/>
        <w:between w:val="nil"/>
      </w:pBdr>
      <w:tabs>
        <w:tab w:val="left" w:pos="1260"/>
      </w:tabs>
      <w:suppressAutoHyphens w:val="0"/>
      <w:spacing w:after="80" w:line="240" w:lineRule="auto"/>
      <w:ind w:left="1260" w:right="130" w:hanging="180"/>
      <w:jc w:val="both"/>
    </w:pPr>
    <w:rPr>
      <w:rFonts w:eastAsia="Times New Roman"/>
      <w:color w:val="000000"/>
      <w:spacing w:val="0"/>
      <w:w w:val="100"/>
      <w:kern w:val="0"/>
      <w:szCs w:val="20"/>
      <w14:ligatures w14:val="none"/>
    </w:rPr>
  </w:style>
  <w:style w:type="character" w:customStyle="1" w:styleId="ParaaChar">
    <w:name w:val="Para. (a) Char"/>
    <w:basedOn w:val="DefaultParagraphFont"/>
    <w:link w:val="Paraa"/>
    <w:rsid w:val="00055BFC"/>
    <w:rPr>
      <w:rFonts w:ascii="Times New Roman" w:eastAsia="Times New Roman" w:hAnsi="Times New Roman" w:cs="Times New Roman"/>
      <w:color w:val="000000"/>
      <w:kern w:val="0"/>
      <w:sz w:val="20"/>
      <w:szCs w:val="20"/>
      <w:lang w:val="ru-RU" w:eastAsia="en-US"/>
      <w14:ligatures w14:val="none"/>
    </w:rPr>
  </w:style>
  <w:style w:type="paragraph" w:customStyle="1" w:styleId="Figure">
    <w:name w:val="Figure"/>
    <w:basedOn w:val="Normal"/>
    <w:link w:val="FigureChar"/>
    <w:qFormat/>
    <w:rsid w:val="00055BFC"/>
    <w:pPr>
      <w:keepNext/>
      <w:pBdr>
        <w:top w:val="nil"/>
        <w:left w:val="nil"/>
        <w:bottom w:val="nil"/>
        <w:right w:val="nil"/>
        <w:between w:val="nil"/>
      </w:pBdr>
      <w:suppressAutoHyphens w:val="0"/>
      <w:spacing w:before="120" w:after="120" w:line="240" w:lineRule="auto"/>
      <w:ind w:left="1282" w:right="576"/>
      <w:jc w:val="center"/>
    </w:pPr>
    <w:rPr>
      <w:rFonts w:eastAsia="Times New Roman"/>
      <w:b/>
      <w:color w:val="000000"/>
      <w:spacing w:val="0"/>
      <w:w w:val="100"/>
      <w:kern w:val="0"/>
      <w:szCs w:val="20"/>
      <w14:ligatures w14:val="none"/>
    </w:rPr>
  </w:style>
  <w:style w:type="character" w:customStyle="1" w:styleId="ParaiChar">
    <w:name w:val="Para. i Char"/>
    <w:basedOn w:val="DefaultParagraphFont"/>
    <w:link w:val="Parai"/>
    <w:rsid w:val="00055BFC"/>
    <w:rPr>
      <w:rFonts w:ascii="Times New Roman" w:eastAsia="Times New Roman" w:hAnsi="Times New Roman" w:cs="Times New Roman"/>
      <w:color w:val="000000"/>
      <w:kern w:val="0"/>
      <w:sz w:val="20"/>
      <w:szCs w:val="20"/>
      <w:lang w:val="ru-RU" w:eastAsia="en-US"/>
      <w14:ligatures w14:val="none"/>
    </w:rPr>
  </w:style>
  <w:style w:type="character" w:styleId="PlaceholderText">
    <w:name w:val="Placeholder Text"/>
    <w:basedOn w:val="DefaultParagraphFont"/>
    <w:uiPriority w:val="99"/>
    <w:semiHidden/>
    <w:rsid w:val="00055BFC"/>
    <w:rPr>
      <w:color w:val="808080"/>
    </w:rPr>
  </w:style>
  <w:style w:type="character" w:customStyle="1" w:styleId="FigureChar">
    <w:name w:val="Figure Char"/>
    <w:basedOn w:val="DefaultParagraphFont"/>
    <w:link w:val="Figure"/>
    <w:rsid w:val="00055BFC"/>
    <w:rPr>
      <w:rFonts w:ascii="Times New Roman" w:eastAsia="Times New Roman" w:hAnsi="Times New Roman" w:cs="Times New Roman"/>
      <w:b/>
      <w:color w:val="000000"/>
      <w:kern w:val="0"/>
      <w:sz w:val="20"/>
      <w:szCs w:val="20"/>
      <w:lang w:val="ru-RU" w:eastAsia="en-US"/>
      <w14:ligatures w14:val="none"/>
    </w:rPr>
  </w:style>
  <w:style w:type="paragraph" w:customStyle="1" w:styleId="Subheading">
    <w:name w:val="Subheading"/>
    <w:basedOn w:val="Normal"/>
    <w:link w:val="SubheadingChar"/>
    <w:qFormat/>
    <w:rsid w:val="00055BFC"/>
    <w:pPr>
      <w:keepNext/>
      <w:numPr>
        <w:numId w:val="16"/>
      </w:numPr>
      <w:pBdr>
        <w:top w:val="nil"/>
        <w:left w:val="nil"/>
        <w:bottom w:val="nil"/>
        <w:right w:val="nil"/>
        <w:between w:val="nil"/>
      </w:pBdr>
      <w:tabs>
        <w:tab w:val="left" w:pos="1620"/>
      </w:tabs>
      <w:suppressAutoHyphens w:val="0"/>
      <w:spacing w:before="240" w:after="240" w:line="240" w:lineRule="auto"/>
      <w:ind w:left="1260" w:right="504" w:firstLine="0"/>
      <w:jc w:val="both"/>
    </w:pPr>
    <w:rPr>
      <w:rFonts w:eastAsia="Times New Roman"/>
      <w:b/>
      <w:color w:val="000000"/>
      <w:spacing w:val="0"/>
      <w:w w:val="100"/>
      <w:kern w:val="0"/>
      <w:szCs w:val="20"/>
      <w14:ligatures w14:val="none"/>
    </w:rPr>
  </w:style>
  <w:style w:type="character" w:customStyle="1" w:styleId="SubheadingChar">
    <w:name w:val="Subheading Char"/>
    <w:basedOn w:val="DefaultParagraphFont"/>
    <w:link w:val="Subheading"/>
    <w:rsid w:val="00055BFC"/>
    <w:rPr>
      <w:rFonts w:ascii="Times New Roman" w:eastAsia="Times New Roman" w:hAnsi="Times New Roman" w:cs="Times New Roman"/>
      <w:b/>
      <w:color w:val="000000"/>
      <w:kern w:val="0"/>
      <w:sz w:val="20"/>
      <w:szCs w:val="20"/>
      <w:lang w:val="ru-RU" w:eastAsia="en-US"/>
      <w14:ligatures w14:val="none"/>
    </w:rPr>
  </w:style>
  <w:style w:type="paragraph" w:customStyle="1" w:styleId="Subhead2">
    <w:name w:val="Subhead 2"/>
    <w:basedOn w:val="Para1"/>
    <w:link w:val="Subhead2Char"/>
    <w:qFormat/>
    <w:rsid w:val="00055BFC"/>
    <w:pPr>
      <w:numPr>
        <w:numId w:val="0"/>
      </w:numPr>
      <w:ind w:left="1260"/>
    </w:pPr>
    <w:rPr>
      <w:i/>
      <w:iCs/>
    </w:rPr>
  </w:style>
  <w:style w:type="character" w:customStyle="1" w:styleId="Subhead2Char">
    <w:name w:val="Subhead 2 Char"/>
    <w:basedOn w:val="Para1Char"/>
    <w:link w:val="Subhead2"/>
    <w:rsid w:val="00055BFC"/>
    <w:rPr>
      <w:rFonts w:ascii="Times New Roman" w:eastAsia="Times New Roman" w:hAnsi="Times New Roman" w:cs="Times New Roman"/>
      <w:i/>
      <w:iCs/>
      <w:color w:val="000000"/>
      <w:kern w:val="0"/>
      <w:sz w:val="20"/>
      <w:szCs w:val="20"/>
      <w:lang w:val="ru-RU"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microsoft.com/office/2016/09/relationships/commentsIds" Target="commentsIds.xml"/><Relationship Id="rId26" Type="http://schemas.openxmlformats.org/officeDocument/2006/relationships/image" Target="media/image8.png"/><Relationship Id="rId39" Type="http://schemas.microsoft.com/office/2011/relationships/people" Target="people.xml"/><Relationship Id="rId21" Type="http://schemas.openxmlformats.org/officeDocument/2006/relationships/chart" Target="charts/chart1.xml"/><Relationship Id="rId34"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image" Target="media/image7.png"/><Relationship Id="rId33" Type="http://schemas.openxmlformats.org/officeDocument/2006/relationships/image" Target="media/image13.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unfpa.org/session-and-informals/executive-board-undp-unfpa-and-unops-annual-session-2025" TargetMode="External"/><Relationship Id="rId29" Type="http://schemas.openxmlformats.org/officeDocument/2006/relationships/hyperlink" Target="https://www.unfpa.org/sites/default/files/admin-resource/DP.FPA_.2018.6_-_OAIS_report_2017_-_FINAL_-_9Apr18_rev_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image" Target="media/image12.png"/><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hyperlink" Target="https://www.unfpa.org/internal-audit-reports-listing-page" TargetMode="External"/><Relationship Id="rId36" Type="http://schemas.openxmlformats.org/officeDocument/2006/relationships/image" Target="media/image16.png"/><Relationship Id="rId10" Type="http://schemas.openxmlformats.org/officeDocument/2006/relationships/header" Target="header1.xml"/><Relationship Id="rId19" Type="http://schemas.microsoft.com/office/2018/08/relationships/commentsExtensible" Target="commentsExtensible.xml"/><Relationship Id="rId31"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0.png"/><Relationship Id="rId35" Type="http://schemas.openxmlformats.org/officeDocument/2006/relationships/image" Target="media/image15.png"/><Relationship Id="rId8" Type="http://schemas.openxmlformats.org/officeDocument/2006/relationships/footnotes" Target="footnote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unfpa.org/sites/default/files/audit-reports/2024-06-24_UNFPA_HQ_Recruitment_Process_-_FINAL.docx.pdf" TargetMode="External"/><Relationship Id="rId2" Type="http://schemas.openxmlformats.org/officeDocument/2006/relationships/hyperlink" Target="https://www.unfpa.org/admin-resource/standard-definition-audit-terms" TargetMode="External"/><Relationship Id="rId1" Type="http://schemas.openxmlformats.org/officeDocument/2006/relationships/hyperlink" Target="https://www.unfpa.org/admin-resource/unfpa-oversight-policy" TargetMode="External"/><Relationship Id="rId4" Type="http://schemas.openxmlformats.org/officeDocument/2006/relationships/hyperlink" Target="https://www.unfpa.org/audit-and-investiga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n-dc01\DTP\2025\2504\US%202503-00416%20UN\01_translations\RU\Figures_1-4_prep_R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214137768569711"/>
          <c:y val="0.17442486035597335"/>
          <c:w val="0.86785862231430289"/>
          <c:h val="0.78570139753559742"/>
        </c:manualLayout>
      </c:layout>
      <c:barChart>
        <c:barDir val="bar"/>
        <c:grouping val="stacked"/>
        <c:varyColors val="0"/>
        <c:ser>
          <c:idx val="0"/>
          <c:order val="0"/>
          <c:tx>
            <c:v>Удовлетворительно</c:v>
          </c:tx>
          <c:spPr>
            <a:pattFill prst="trellis">
              <a:fgClr>
                <a:srgbClr val="00B050"/>
              </a:fgClr>
              <a:bgClr>
                <a:schemeClr val="bg1"/>
              </a:bgClr>
            </a:patt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5"/>
              <c:pt idx="0">
                <c:v>2020</c:v>
              </c:pt>
              <c:pt idx="1">
                <c:v>2021</c:v>
              </c:pt>
              <c:pt idx="2">
                <c:v>2022</c:v>
              </c:pt>
              <c:pt idx="3">
                <c:v>2023</c:v>
              </c:pt>
              <c:pt idx="4">
                <c:v>2024</c:v>
              </c:pt>
            </c:numLit>
          </c:cat>
          <c:val>
            <c:numLit>
              <c:formatCode>General</c:formatCode>
              <c:ptCount val="5"/>
              <c:pt idx="3">
                <c:v>0.17</c:v>
              </c:pt>
              <c:pt idx="4">
                <c:v>0.17857142857142858</c:v>
              </c:pt>
            </c:numLit>
          </c:val>
          <c:extLst>
            <c:ext xmlns:c16="http://schemas.microsoft.com/office/drawing/2014/chart" uri="{C3380CC4-5D6E-409C-BE32-E72D297353CC}">
              <c16:uniqueId val="{00000000-90F2-403A-B36B-EC8C115F78E5}"/>
            </c:ext>
          </c:extLst>
        </c:ser>
        <c:ser>
          <c:idx val="1"/>
          <c:order val="1"/>
          <c:tx>
            <c:v>Требуется некоторое улучшение</c:v>
          </c:tx>
          <c:spPr>
            <a:pattFill prst="pct80">
              <a:fgClr>
                <a:schemeClr val="accent4"/>
              </a:fgClr>
              <a:bgClr>
                <a:schemeClr val="bg1"/>
              </a:bgClr>
            </a:patt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5"/>
              <c:pt idx="0">
                <c:v>2020</c:v>
              </c:pt>
              <c:pt idx="1">
                <c:v>2021</c:v>
              </c:pt>
              <c:pt idx="2">
                <c:v>2022</c:v>
              </c:pt>
              <c:pt idx="3">
                <c:v>2023</c:v>
              </c:pt>
              <c:pt idx="4">
                <c:v>2024</c:v>
              </c:pt>
            </c:numLit>
          </c:cat>
          <c:val>
            <c:numLit>
              <c:formatCode>General</c:formatCode>
              <c:ptCount val="5"/>
              <c:pt idx="0">
                <c:v>0.13</c:v>
              </c:pt>
              <c:pt idx="1">
                <c:v>1</c:v>
              </c:pt>
              <c:pt idx="2">
                <c:v>0.67</c:v>
              </c:pt>
              <c:pt idx="3">
                <c:v>0.46</c:v>
              </c:pt>
              <c:pt idx="4">
                <c:v>0.53</c:v>
              </c:pt>
            </c:numLit>
          </c:val>
          <c:extLst>
            <c:ext xmlns:c16="http://schemas.microsoft.com/office/drawing/2014/chart" uri="{C3380CC4-5D6E-409C-BE32-E72D297353CC}">
              <c16:uniqueId val="{00000001-90F2-403A-B36B-EC8C115F78E5}"/>
            </c:ext>
          </c:extLst>
        </c:ser>
        <c:ser>
          <c:idx val="2"/>
          <c:order val="2"/>
          <c:tx>
            <c:v>Требуется серьезное улучшение</c:v>
          </c:tx>
          <c:spPr>
            <a:pattFill prst="pct30">
              <a:fgClr>
                <a:schemeClr val="accent2"/>
              </a:fgClr>
              <a:bgClr>
                <a:schemeClr val="bg1"/>
              </a:bgClr>
            </a:patt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5"/>
              <c:pt idx="0">
                <c:v>2020</c:v>
              </c:pt>
              <c:pt idx="1">
                <c:v>2021</c:v>
              </c:pt>
              <c:pt idx="2">
                <c:v>2022</c:v>
              </c:pt>
              <c:pt idx="3">
                <c:v>2023</c:v>
              </c:pt>
              <c:pt idx="4">
                <c:v>2024</c:v>
              </c:pt>
            </c:numLit>
          </c:cat>
          <c:val>
            <c:numLit>
              <c:formatCode>General</c:formatCode>
              <c:ptCount val="5"/>
              <c:pt idx="0">
                <c:v>0.74</c:v>
              </c:pt>
              <c:pt idx="2">
                <c:v>0.33</c:v>
              </c:pt>
              <c:pt idx="3">
                <c:v>0.33</c:v>
              </c:pt>
              <c:pt idx="4">
                <c:v>0.17857142857142858</c:v>
              </c:pt>
            </c:numLit>
          </c:val>
          <c:extLst>
            <c:ext xmlns:c16="http://schemas.microsoft.com/office/drawing/2014/chart" uri="{C3380CC4-5D6E-409C-BE32-E72D297353CC}">
              <c16:uniqueId val="{00000002-90F2-403A-B36B-EC8C115F78E5}"/>
            </c:ext>
          </c:extLst>
        </c:ser>
        <c:ser>
          <c:idx val="3"/>
          <c:order val="3"/>
          <c:tx>
            <c:v>Неудовлетворительно</c:v>
          </c:tx>
          <c:spPr>
            <a:pattFill prst="dkHorz">
              <a:fgClr>
                <a:srgbClr val="FF0000"/>
              </a:fgClr>
              <a:bgClr>
                <a:schemeClr val="bg1"/>
              </a:bgClr>
            </a:pattFill>
            <a:ln>
              <a:noFill/>
            </a:ln>
            <a:effectLst/>
          </c:spPr>
          <c:invertIfNegative val="0"/>
          <c:dLbls>
            <c:dLbl>
              <c:idx val="0"/>
              <c:layout>
                <c:manualLayout>
                  <c:x val="1.0934937124111376E-2"/>
                  <c:y val="-5.778761717115457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0F2-403A-B36B-EC8C115F78E5}"/>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5"/>
              <c:pt idx="0">
                <c:v>2020</c:v>
              </c:pt>
              <c:pt idx="1">
                <c:v>2021</c:v>
              </c:pt>
              <c:pt idx="2">
                <c:v>2022</c:v>
              </c:pt>
              <c:pt idx="3">
                <c:v>2023</c:v>
              </c:pt>
              <c:pt idx="4">
                <c:v>2024</c:v>
              </c:pt>
            </c:numLit>
          </c:cat>
          <c:val>
            <c:numLit>
              <c:formatCode>General</c:formatCode>
              <c:ptCount val="5"/>
              <c:pt idx="0">
                <c:v>0.13</c:v>
              </c:pt>
              <c:pt idx="3">
                <c:v>0.04</c:v>
              </c:pt>
              <c:pt idx="4">
                <c:v>0.10714285714285714</c:v>
              </c:pt>
            </c:numLit>
          </c:val>
          <c:extLst>
            <c:ext xmlns:c16="http://schemas.microsoft.com/office/drawing/2014/chart" uri="{C3380CC4-5D6E-409C-BE32-E72D297353CC}">
              <c16:uniqueId val="{00000004-90F2-403A-B36B-EC8C115F78E5}"/>
            </c:ext>
          </c:extLst>
        </c:ser>
        <c:dLbls>
          <c:showLegendKey val="0"/>
          <c:showVal val="0"/>
          <c:showCatName val="0"/>
          <c:showSerName val="0"/>
          <c:showPercent val="0"/>
          <c:showBubbleSize val="0"/>
        </c:dLbls>
        <c:gapWidth val="150"/>
        <c:overlap val="100"/>
        <c:axId val="992224864"/>
        <c:axId val="1245232159"/>
      </c:barChart>
      <c:catAx>
        <c:axId val="992224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1245232159"/>
        <c:crosses val="autoZero"/>
        <c:auto val="1"/>
        <c:lblAlgn val="ctr"/>
        <c:lblOffset val="100"/>
        <c:noMultiLvlLbl val="0"/>
      </c:catAx>
      <c:valAx>
        <c:axId val="1245232159"/>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992224864"/>
        <c:crosses val="autoZero"/>
        <c:crossBetween val="between"/>
      </c:valAx>
      <c:spPr>
        <a:noFill/>
        <a:ln>
          <a:noFill/>
        </a:ln>
        <a:effectLst/>
      </c:spPr>
    </c:plotArea>
    <c:legend>
      <c:legendPos val="b"/>
      <c:layout>
        <c:manualLayout>
          <c:xMode val="edge"/>
          <c:yMode val="edge"/>
          <c:x val="5.8709753411183174E-2"/>
          <c:y val="8.9153630332017522E-2"/>
          <c:w val="0.87686849629658714"/>
          <c:h val="7.2072702128905708E-2"/>
        </c:manualLayout>
      </c:layout>
      <c:overlay val="0"/>
      <c:spPr>
        <a:noFill/>
        <a:ln>
          <a:noFill/>
        </a:ln>
        <a:effectLst/>
      </c:spPr>
      <c:txPr>
        <a:bodyPr rot="0" spcFirstLastPara="1" vertOverflow="ellipsis" vert="horz" wrap="square" anchor="ctr" anchorCtr="1"/>
        <a:lstStyle/>
        <a:p>
          <a:pPr>
            <a:defRPr sz="7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6E448E249974CA99C3C0E91938F3E" ma:contentTypeVersion="19" ma:contentTypeDescription="Create a new document." ma:contentTypeScope="" ma:versionID="0937ed311137c2b1eace1efd36734102">
  <xsd:schema xmlns:xsd="http://www.w3.org/2001/XMLSchema" xmlns:xs="http://www.w3.org/2001/XMLSchema" xmlns:p="http://schemas.microsoft.com/office/2006/metadata/properties" xmlns:ns2="41c8501f-7554-4cfe-b76f-88ff51cf7baf" xmlns:ns3="32aca14f-6975-493a-b86a-2ec1bd8de72a" xmlns:ns4="985ec44e-1bab-4c0b-9df0-6ba128686fc9" targetNamespace="http://schemas.microsoft.com/office/2006/metadata/properties" ma:root="true" ma:fieldsID="a28f865ce43254a6d4f8f3e0715e0835" ns2:_="" ns3:_="" ns4:_="">
    <xsd:import namespace="41c8501f-7554-4cfe-b76f-88ff51cf7baf"/>
    <xsd:import namespace="32aca14f-6975-493a-b86a-2ec1bd8de72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8501f-7554-4cfe-b76f-88ff51cf7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Updated" ma:index="25" nillable="true" ma:displayName="Updated" ma:description="April 24, 2025" ma:format="Dropdown" ma:internalName="Updat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aca14f-6975-493a-b86a-2ec1bd8de7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bfccc2b-c89e-4860-821b-a3504c340030}" ma:internalName="TaxCatchAll" ma:showField="CatchAllData" ma:web="32aca14f-6975-493a-b86a-2ec1bd8de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c8501f-7554-4cfe-b76f-88ff51cf7baf">
      <Terms xmlns="http://schemas.microsoft.com/office/infopath/2007/PartnerControls"/>
    </lcf76f155ced4ddcb4097134ff3c332f>
    <TaxCatchAll xmlns="985ec44e-1bab-4c0b-9df0-6ba128686fc9" xsi:nil="true"/>
    <MediaLengthInSeconds xmlns="41c8501f-7554-4cfe-b76f-88ff51cf7baf" xsi:nil="true"/>
    <SharedWithUsers xmlns="32aca14f-6975-493a-b86a-2ec1bd8de72a">
      <UserInfo>
        <DisplayName/>
        <AccountId xsi:nil="true"/>
        <AccountType/>
      </UserInfo>
    </SharedWithUsers>
    <Updated xmlns="41c8501f-7554-4cfe-b76f-88ff51cf7baf" xsi:nil="true"/>
  </documentManagement>
</p:properties>
</file>

<file path=customXml/itemProps1.xml><?xml version="1.0" encoding="utf-8"?>
<ds:datastoreItem xmlns:ds="http://schemas.openxmlformats.org/officeDocument/2006/customXml" ds:itemID="{2AD8623F-8A62-4D48-AAB5-29593A91D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8501f-7554-4cfe-b76f-88ff51cf7baf"/>
    <ds:schemaRef ds:uri="32aca14f-6975-493a-b86a-2ec1bd8de72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1B133-5683-4906-885E-6BE4E0CB4283}">
  <ds:schemaRefs>
    <ds:schemaRef ds:uri="http://schemas.microsoft.com/sharepoint/v3/contenttype/forms"/>
  </ds:schemaRefs>
</ds:datastoreItem>
</file>

<file path=customXml/itemProps3.xml><?xml version="1.0" encoding="utf-8"?>
<ds:datastoreItem xmlns:ds="http://schemas.openxmlformats.org/officeDocument/2006/customXml" ds:itemID="{631EAC4C-543C-4F11-A796-B2F0F86D1E27}">
  <ds:schemaRefs>
    <ds:schemaRef ds:uri="http://schemas.microsoft.com/office/2006/metadata/properties"/>
    <ds:schemaRef ds:uri="http://schemas.microsoft.com/office/infopath/2007/PartnerControls"/>
    <ds:schemaRef ds:uri="41c8501f-7554-4cfe-b76f-88ff51cf7baf"/>
    <ds:schemaRef ds:uri="985ec44e-1bab-4c0b-9df0-6ba128686fc9"/>
    <ds:schemaRef ds:uri="32aca14f-6975-493a-b86a-2ec1bd8de72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16153</Words>
  <Characters>92074</Characters>
  <Application>Microsoft Office Word</Application>
  <DocSecurity>0</DocSecurity>
  <Lines>767</Lines>
  <Paragraphs>216</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    Ежегодная сессия 2025 года</vt:lpstr>
      <vt:lpstr>    ЮНФПА — Управление аудита и расследований</vt:lpstr>
      <vt:lpstr>Содержание</vt:lpstr>
      <vt:lpstr>I.	Введение</vt:lpstr>
      <vt:lpstr>II.	Задачи</vt:lpstr>
      <vt:lpstr>III.	Заключение</vt:lpstr>
      <vt:lpstr>A.	Обязанности руководства ЮНФПА и УАР</vt:lpstr>
      <vt:lpstr>B.	Основание для заключения внутреннего аудита</vt:lpstr>
      <vt:lpstr>C.	Исключения из заключения внутреннего аудита</vt:lpstr>
      <vt:lpstr>D.	Общее заключение по внутреннему аудиту</vt:lpstr>
      <vt:lpstr>IV.	Заявление о независимости УАР и соответствии стандартам внутреннего аудита и</vt:lpstr>
      <vt:lpstr>V.	Штатное расписание и бюджет УАР</vt:lpstr>
      <vt:lpstr>VI.	Выполнение плана аудита на 2024 год с учетом рисков</vt:lpstr>
      <vt:lpstr>VII.	Деятельность и результаты внутреннего аудита</vt:lpstr>
      <vt:lpstr>A.	Передовой опыт</vt:lpstr>
      <vt:lpstr>B.	Отчеты о рейтингах, проблемах аудита и рекомендациях</vt:lpstr>
      <vt:lpstr>C.	Выполнение рекомендаций внутреннего аудита</vt:lpstr>
      <vt:lpstr>D.	Выпуск и публикация отчетов о внутреннем аудите</vt:lpstr>
      <vt:lpstr>VIII.	Следственные действия и результаты</vt:lpstr>
      <vt:lpstr>IX.	Консультационные услуги, оказанные в 2024 году</vt:lpstr>
      <vt:lpstr>X.	Надзор, мониторинг и координация деятельности по аудиту и расследованиям</vt:lpstr>
      <vt:lpstr>XI.	Другие мероприятия, проведенные в 2024 году</vt:lpstr>
      <vt:lpstr>XII.	Обзор годовых планов работы УАР на 2025 год</vt:lpstr>
      <vt:lpstr>A.	Рабочий план внутреннего аудита</vt:lpstr>
    </vt:vector>
  </TitlesOfParts>
  <Company/>
  <LinksUpToDate>false</LinksUpToDate>
  <CharactersWithSpaces>108011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Korshunova</dc:creator>
  <cp:keywords/>
  <dc:description/>
  <cp:lastModifiedBy>Olga Filippova</cp:lastModifiedBy>
  <cp:revision>4</cp:revision>
  <cp:lastPrinted>2025-05-21T20:06:00Z</cp:lastPrinted>
  <dcterms:created xsi:type="dcterms:W3CDTF">2025-05-23T15:54:00Z</dcterms:created>
  <dcterms:modified xsi:type="dcterms:W3CDTF">2025-05-23T16:05:00Z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2507879R</vt:lpwstr>
  </property>
  <property fmtid="{D5CDD505-2E9C-101B-9397-08002B2CF9AE}" pid="3" name="ODSRefJobNo">
    <vt:lpwstr>2512987R</vt:lpwstr>
  </property>
  <property fmtid="{D5CDD505-2E9C-101B-9397-08002B2CF9AE}" pid="4" name="Symbol1">
    <vt:lpwstr>DP/FPA/2025/6</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Category">
    <vt:lpwstr>Document</vt:lpwstr>
  </property>
  <property fmtid="{D5CDD505-2E9C-101B-9397-08002B2CF9AE}" pid="11" name="DocType">
    <vt:lpwstr>S</vt:lpwstr>
  </property>
  <property fmtid="{D5CDD505-2E9C-101B-9397-08002B2CF9AE}" pid="12" name="Language">
    <vt:lpwstr>Russian</vt:lpwstr>
  </property>
  <property fmtid="{D5CDD505-2E9C-101B-9397-08002B2CF9AE}" pid="13" name="Distribution">
    <vt:lpwstr>General</vt:lpwstr>
  </property>
  <property fmtid="{D5CDD505-2E9C-101B-9397-08002B2CF9AE}" pid="14" name="Publication Date">
    <vt:lpwstr>5 April 2025</vt:lpwstr>
  </property>
  <property fmtid="{D5CDD505-2E9C-101B-9397-08002B2CF9AE}" pid="15" name="Original">
    <vt:lpwstr>English</vt:lpwstr>
  </property>
  <property fmtid="{D5CDD505-2E9C-101B-9397-08002B2CF9AE}" pid="16" name="Release Date">
    <vt:lpwstr/>
  </property>
</Properties>
</file>